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B88BFB" w14:textId="1C83A956" w:rsidR="00B7258E" w:rsidRDefault="00FB3615" w:rsidP="00113C90">
      <w:pPr>
        <w:pStyle w:val="Heading1"/>
        <w:spacing w:before="0" w:line="240" w:lineRule="auto"/>
        <w:jc w:val="center"/>
        <w:rPr>
          <w:rFonts w:ascii="Arial" w:hAnsi="Arial" w:cs="Arial"/>
          <w:bCs w:val="0"/>
          <w:i/>
          <w:color w:val="000000" w:themeColor="text1"/>
          <w:u w:val="single"/>
        </w:rPr>
      </w:pPr>
      <w:bookmarkStart w:id="0" w:name="_GoBack"/>
      <w:bookmarkEnd w:id="0"/>
      <w:r w:rsidRPr="00FB2177">
        <w:rPr>
          <w:rFonts w:ascii="Arial" w:hAnsi="Arial" w:cs="Arial"/>
          <w:bCs w:val="0"/>
          <w:i/>
          <w:color w:val="000000" w:themeColor="text1"/>
          <w:u w:val="single"/>
        </w:rPr>
        <w:t>O</w:t>
      </w:r>
      <w:r w:rsidR="00240494">
        <w:rPr>
          <w:rFonts w:ascii="Arial" w:hAnsi="Arial" w:cs="Arial"/>
          <w:bCs w:val="0"/>
          <w:i/>
          <w:color w:val="000000" w:themeColor="text1"/>
          <w:u w:val="single"/>
        </w:rPr>
        <w:t xml:space="preserve">pen Society Justice Initiative - </w:t>
      </w:r>
      <w:r w:rsidRPr="00FB2177">
        <w:rPr>
          <w:rFonts w:ascii="Arial" w:hAnsi="Arial" w:cs="Arial"/>
          <w:bCs w:val="0"/>
          <w:i/>
          <w:color w:val="000000" w:themeColor="text1"/>
          <w:u w:val="single"/>
        </w:rPr>
        <w:t>NUI</w:t>
      </w:r>
      <w:r w:rsidR="00240494">
        <w:rPr>
          <w:rFonts w:ascii="Arial" w:hAnsi="Arial" w:cs="Arial"/>
          <w:bCs w:val="0"/>
          <w:i/>
          <w:color w:val="000000" w:themeColor="text1"/>
          <w:u w:val="single"/>
        </w:rPr>
        <w:t xml:space="preserve"> Galway - Centre for European Law - </w:t>
      </w:r>
      <w:r w:rsidR="000E6947" w:rsidRPr="00FB2177">
        <w:rPr>
          <w:rFonts w:ascii="Arial" w:hAnsi="Arial" w:cs="Arial"/>
          <w:bCs w:val="0"/>
          <w:i/>
          <w:color w:val="000000" w:themeColor="text1"/>
          <w:u w:val="single"/>
        </w:rPr>
        <w:t>Professional Seminar</w:t>
      </w:r>
      <w:r w:rsidR="00240494">
        <w:rPr>
          <w:rFonts w:ascii="Arial" w:hAnsi="Arial" w:cs="Arial"/>
          <w:bCs w:val="0"/>
          <w:i/>
          <w:color w:val="000000" w:themeColor="text1"/>
          <w:u w:val="single"/>
        </w:rPr>
        <w:t>s</w:t>
      </w:r>
      <w:r w:rsidR="000E6947" w:rsidRPr="00FB2177">
        <w:rPr>
          <w:rFonts w:ascii="Arial" w:hAnsi="Arial" w:cs="Arial"/>
          <w:bCs w:val="0"/>
          <w:i/>
          <w:color w:val="000000" w:themeColor="text1"/>
          <w:u w:val="single"/>
        </w:rPr>
        <w:t xml:space="preserve"> </w:t>
      </w:r>
    </w:p>
    <w:p w14:paraId="43A9B90A" w14:textId="5581B20D" w:rsidR="00D263D0" w:rsidRPr="00303E3D" w:rsidRDefault="00D263D0" w:rsidP="00D263D0">
      <w:pPr>
        <w:spacing w:before="100" w:beforeAutospacing="1" w:after="100" w:afterAutospacing="1" w:line="240" w:lineRule="auto"/>
        <w:jc w:val="center"/>
        <w:rPr>
          <w:rFonts w:ascii="Times" w:hAnsi="Times" w:cs="Times New Roman"/>
          <w:i/>
          <w:sz w:val="28"/>
          <w:szCs w:val="28"/>
        </w:rPr>
      </w:pPr>
      <w:r w:rsidRPr="00303E3D">
        <w:rPr>
          <w:rFonts w:ascii="Arial" w:hAnsi="Arial" w:cs="Arial"/>
          <w:bCs/>
          <w:i/>
          <w:sz w:val="28"/>
          <w:szCs w:val="28"/>
        </w:rPr>
        <w:t>A new approach to personal debt litigation:  The role of the Unfair Contract Terms Directive and the Charter of Fundamental Rights</w:t>
      </w:r>
    </w:p>
    <w:p w14:paraId="1FE18FD1" w14:textId="07C3C553" w:rsidR="00592440" w:rsidRPr="00303E3D" w:rsidRDefault="00FB3615" w:rsidP="00113C90">
      <w:pPr>
        <w:spacing w:after="0" w:line="240" w:lineRule="auto"/>
        <w:jc w:val="center"/>
        <w:rPr>
          <w:rFonts w:ascii="Arial" w:hAnsi="Arial" w:cs="Arial"/>
          <w:i/>
          <w:sz w:val="28"/>
          <w:szCs w:val="28"/>
        </w:rPr>
      </w:pPr>
      <w:r w:rsidRPr="00303E3D">
        <w:rPr>
          <w:rFonts w:ascii="Arial" w:hAnsi="Arial" w:cs="Arial"/>
          <w:i/>
          <w:sz w:val="28"/>
          <w:szCs w:val="28"/>
        </w:rPr>
        <w:t>Dr Padraic Kenna NUI Galway</w:t>
      </w:r>
      <w:r w:rsidR="00D509CB" w:rsidRPr="00303E3D">
        <w:rPr>
          <w:rStyle w:val="FootnoteReference"/>
          <w:rFonts w:ascii="Arial" w:hAnsi="Arial" w:cs="Arial"/>
          <w:i/>
          <w:sz w:val="28"/>
          <w:szCs w:val="28"/>
        </w:rPr>
        <w:footnoteReference w:id="1"/>
      </w:r>
    </w:p>
    <w:p w14:paraId="49EEFE5F" w14:textId="77777777" w:rsidR="00113C90" w:rsidRPr="00D509CB" w:rsidRDefault="00113C90" w:rsidP="00113C90">
      <w:pPr>
        <w:spacing w:after="0" w:line="240" w:lineRule="auto"/>
        <w:jc w:val="center"/>
        <w:rPr>
          <w:rFonts w:ascii="Arial" w:hAnsi="Arial" w:cs="Arial"/>
          <w:b/>
          <w:i/>
          <w:sz w:val="24"/>
          <w:szCs w:val="24"/>
        </w:rPr>
      </w:pPr>
    </w:p>
    <w:p w14:paraId="43DB7547" w14:textId="77777777" w:rsidR="00FB2177" w:rsidRPr="00FB2177" w:rsidRDefault="00FB2177" w:rsidP="00FB2177">
      <w:pPr>
        <w:spacing w:after="0" w:line="240" w:lineRule="auto"/>
        <w:rPr>
          <w:rFonts w:ascii="Arial" w:hAnsi="Arial" w:cs="Arial"/>
          <w:b/>
          <w:sz w:val="28"/>
          <w:szCs w:val="28"/>
        </w:rPr>
      </w:pPr>
      <w:r w:rsidRPr="00FB2177">
        <w:rPr>
          <w:rFonts w:ascii="Arial" w:hAnsi="Arial" w:cs="Arial"/>
          <w:b/>
          <w:sz w:val="28"/>
          <w:szCs w:val="28"/>
        </w:rPr>
        <w:t>Introduction.</w:t>
      </w:r>
    </w:p>
    <w:p w14:paraId="086C8D33" w14:textId="77777777" w:rsidR="00FB2177" w:rsidRDefault="00FB2177" w:rsidP="00FB2177">
      <w:pPr>
        <w:spacing w:after="0" w:line="240" w:lineRule="auto"/>
        <w:rPr>
          <w:rFonts w:ascii="Arial" w:hAnsi="Arial" w:cs="Arial"/>
          <w:sz w:val="24"/>
          <w:szCs w:val="24"/>
        </w:rPr>
      </w:pPr>
    </w:p>
    <w:p w14:paraId="2C1D6B7A" w14:textId="74596066" w:rsidR="00FB2177" w:rsidRDefault="00FB2177" w:rsidP="00FB2177">
      <w:pPr>
        <w:spacing w:after="0" w:line="240" w:lineRule="auto"/>
        <w:rPr>
          <w:rFonts w:ascii="Arial" w:hAnsi="Arial" w:cs="Arial"/>
          <w:sz w:val="24"/>
          <w:szCs w:val="24"/>
        </w:rPr>
      </w:pPr>
      <w:r>
        <w:rPr>
          <w:rFonts w:ascii="Arial" w:hAnsi="Arial" w:cs="Arial"/>
          <w:sz w:val="24"/>
          <w:szCs w:val="24"/>
        </w:rPr>
        <w:t>In this short paper, designed as a background briefing to the professional seminars on abusive lending and human rights, I will address the EU Charter of Fundamental Rights. Firstly, a brief overview of the status of the Charter reveals that has been part of Treaty law since 2009. However, awareness of its existence among the European and Irish public and legal profession is patchy. References to the Charter in the decisions of the Irish Superior Courts has declined since 2012. Next, I consider the much debated question of the scope of application of the Charter, especially how it relates to national laws. Thirdly, I examine how the Charter can be interpreted, and the quite innovative way it brings a catalogue of international human rights instruments within binding EU law. Fourthly, I consider some examples where the Charter has informed the interpretation of other EU law, particularly the Unfair Contract Terms Directive (UCTD). This demonstates, somewhat, the potential for the Charter to have a more significant role in the development of Irish law on debt-related proceedings. Finally, there is a list of Charter Articles.</w:t>
      </w:r>
    </w:p>
    <w:p w14:paraId="1159EB33" w14:textId="7FB0E163" w:rsidR="00FB2177" w:rsidRDefault="00FB2177" w:rsidP="00FB2177">
      <w:pPr>
        <w:spacing w:after="0" w:line="240" w:lineRule="auto"/>
        <w:rPr>
          <w:rFonts w:ascii="Arial" w:hAnsi="Arial" w:cs="Arial"/>
          <w:sz w:val="24"/>
          <w:szCs w:val="24"/>
        </w:rPr>
      </w:pPr>
      <w:r>
        <w:rPr>
          <w:rFonts w:ascii="Arial" w:hAnsi="Arial" w:cs="Arial"/>
          <w:sz w:val="24"/>
          <w:szCs w:val="24"/>
        </w:rPr>
        <w:t xml:space="preserve"> </w:t>
      </w:r>
    </w:p>
    <w:p w14:paraId="560A0917" w14:textId="684C7F1A" w:rsidR="00B7258E" w:rsidRPr="00D509CB" w:rsidRDefault="00D509CB" w:rsidP="00113C90">
      <w:pPr>
        <w:spacing w:after="0" w:line="240" w:lineRule="auto"/>
        <w:rPr>
          <w:rFonts w:ascii="Arial" w:hAnsi="Arial" w:cs="Arial"/>
          <w:b/>
          <w:sz w:val="28"/>
          <w:szCs w:val="28"/>
        </w:rPr>
      </w:pPr>
      <w:r w:rsidRPr="00D509CB">
        <w:rPr>
          <w:rFonts w:ascii="Arial" w:hAnsi="Arial" w:cs="Arial"/>
          <w:b/>
          <w:sz w:val="28"/>
          <w:szCs w:val="28"/>
        </w:rPr>
        <w:t xml:space="preserve">1. </w:t>
      </w:r>
      <w:r w:rsidR="00BB53F5" w:rsidRPr="00D509CB">
        <w:rPr>
          <w:rFonts w:ascii="Arial" w:hAnsi="Arial" w:cs="Arial"/>
          <w:b/>
          <w:sz w:val="28"/>
          <w:szCs w:val="28"/>
        </w:rPr>
        <w:t xml:space="preserve">Overview of </w:t>
      </w:r>
      <w:r w:rsidR="00160C04" w:rsidRPr="00D509CB">
        <w:rPr>
          <w:rFonts w:ascii="Arial" w:hAnsi="Arial" w:cs="Arial"/>
          <w:b/>
          <w:sz w:val="28"/>
          <w:szCs w:val="28"/>
        </w:rPr>
        <w:t>C</w:t>
      </w:r>
      <w:r w:rsidR="001F64EF">
        <w:rPr>
          <w:rFonts w:ascii="Arial" w:hAnsi="Arial" w:cs="Arial"/>
          <w:b/>
          <w:sz w:val="28"/>
          <w:szCs w:val="28"/>
        </w:rPr>
        <w:t>harter</w:t>
      </w:r>
      <w:r w:rsidR="00BB53F5" w:rsidRPr="00D509CB">
        <w:rPr>
          <w:rFonts w:ascii="Arial" w:hAnsi="Arial" w:cs="Arial"/>
          <w:b/>
          <w:sz w:val="28"/>
          <w:szCs w:val="28"/>
        </w:rPr>
        <w:t xml:space="preserve"> </w:t>
      </w:r>
      <w:r w:rsidR="00B7258E" w:rsidRPr="00D509CB">
        <w:rPr>
          <w:rFonts w:ascii="Arial" w:hAnsi="Arial" w:cs="Arial"/>
          <w:b/>
          <w:sz w:val="28"/>
          <w:szCs w:val="28"/>
        </w:rPr>
        <w:t>and status.</w:t>
      </w:r>
    </w:p>
    <w:p w14:paraId="7BC7DEB0" w14:textId="77777777" w:rsidR="00113C90" w:rsidRPr="00113C90" w:rsidRDefault="00113C90" w:rsidP="00113C90">
      <w:pPr>
        <w:spacing w:after="0" w:line="240" w:lineRule="auto"/>
        <w:rPr>
          <w:rFonts w:ascii="Arial" w:hAnsi="Arial" w:cs="Arial"/>
          <w:b/>
          <w:sz w:val="24"/>
          <w:szCs w:val="24"/>
        </w:rPr>
      </w:pPr>
    </w:p>
    <w:p w14:paraId="357FB4E1" w14:textId="14DAD6B9" w:rsidR="00C65F6D" w:rsidRPr="00113C90" w:rsidRDefault="006A14AE" w:rsidP="00113C90">
      <w:pPr>
        <w:pStyle w:val="Heading2"/>
        <w:spacing w:before="0" w:line="240" w:lineRule="auto"/>
        <w:rPr>
          <w:rFonts w:ascii="Arial" w:eastAsia="Times New Roman" w:hAnsi="Arial" w:cs="Arial"/>
          <w:b w:val="0"/>
          <w:bCs w:val="0"/>
          <w:color w:val="000000" w:themeColor="text1"/>
          <w:sz w:val="24"/>
          <w:szCs w:val="24"/>
        </w:rPr>
      </w:pPr>
      <w:r w:rsidRPr="00113C90">
        <w:rPr>
          <w:rFonts w:ascii="Arial" w:hAnsi="Arial" w:cs="Arial"/>
          <w:b w:val="0"/>
          <w:bCs w:val="0"/>
          <w:color w:val="000000" w:themeColor="text1"/>
          <w:sz w:val="24"/>
          <w:szCs w:val="24"/>
        </w:rPr>
        <w:t xml:space="preserve">The EU </w:t>
      </w:r>
      <w:r w:rsidR="00160C04">
        <w:rPr>
          <w:rFonts w:ascii="Arial" w:hAnsi="Arial" w:cs="Arial"/>
          <w:b w:val="0"/>
          <w:bCs w:val="0"/>
          <w:color w:val="000000" w:themeColor="text1"/>
          <w:sz w:val="24"/>
          <w:szCs w:val="24"/>
        </w:rPr>
        <w:t>Charter</w:t>
      </w:r>
      <w:r w:rsidRPr="00113C90">
        <w:rPr>
          <w:rFonts w:ascii="Arial" w:hAnsi="Arial" w:cs="Arial"/>
          <w:b w:val="0"/>
          <w:bCs w:val="0"/>
          <w:color w:val="000000" w:themeColor="text1"/>
          <w:sz w:val="24"/>
          <w:szCs w:val="24"/>
        </w:rPr>
        <w:t xml:space="preserve"> of Fundamental Rights (</w:t>
      </w:r>
      <w:r w:rsidR="00160C04">
        <w:rPr>
          <w:rFonts w:ascii="Arial" w:hAnsi="Arial" w:cs="Arial"/>
          <w:b w:val="0"/>
          <w:bCs w:val="0"/>
          <w:color w:val="000000" w:themeColor="text1"/>
          <w:sz w:val="24"/>
          <w:szCs w:val="24"/>
        </w:rPr>
        <w:t>Charter)</w:t>
      </w:r>
      <w:r w:rsidRPr="00113C90">
        <w:rPr>
          <w:rFonts w:ascii="Arial" w:hAnsi="Arial" w:cs="Arial"/>
          <w:b w:val="0"/>
          <w:bCs w:val="0"/>
          <w:color w:val="000000" w:themeColor="text1"/>
          <w:sz w:val="24"/>
          <w:szCs w:val="24"/>
        </w:rPr>
        <w:t xml:space="preserve"> is set to </w:t>
      </w:r>
      <w:r w:rsidR="00255E69">
        <w:rPr>
          <w:rFonts w:ascii="Arial" w:hAnsi="Arial" w:cs="Arial"/>
          <w:b w:val="0"/>
          <w:bCs w:val="0"/>
          <w:color w:val="000000" w:themeColor="text1"/>
          <w:sz w:val="24"/>
          <w:szCs w:val="24"/>
        </w:rPr>
        <w:t xml:space="preserve">develop </w:t>
      </w:r>
      <w:r w:rsidRPr="00113C90">
        <w:rPr>
          <w:rFonts w:ascii="Arial" w:hAnsi="Arial" w:cs="Arial"/>
          <w:b w:val="0"/>
          <w:bCs w:val="0"/>
          <w:color w:val="000000" w:themeColor="text1"/>
          <w:sz w:val="24"/>
          <w:szCs w:val="24"/>
        </w:rPr>
        <w:t>signific</w:t>
      </w:r>
      <w:r w:rsidR="0043253E">
        <w:rPr>
          <w:rFonts w:ascii="Arial" w:hAnsi="Arial" w:cs="Arial"/>
          <w:b w:val="0"/>
          <w:bCs w:val="0"/>
          <w:color w:val="000000" w:themeColor="text1"/>
          <w:sz w:val="24"/>
          <w:szCs w:val="24"/>
        </w:rPr>
        <w:t>ant</w:t>
      </w:r>
      <w:r w:rsidRPr="00113C90">
        <w:rPr>
          <w:rFonts w:ascii="Arial" w:hAnsi="Arial" w:cs="Arial"/>
          <w:b w:val="0"/>
          <w:bCs w:val="0"/>
          <w:color w:val="000000" w:themeColor="text1"/>
          <w:sz w:val="24"/>
          <w:szCs w:val="24"/>
        </w:rPr>
        <w:t xml:space="preserve"> standard</w:t>
      </w:r>
      <w:r w:rsidR="00255E69">
        <w:rPr>
          <w:rFonts w:ascii="Arial" w:hAnsi="Arial" w:cs="Arial"/>
          <w:b w:val="0"/>
          <w:bCs w:val="0"/>
          <w:color w:val="000000" w:themeColor="text1"/>
          <w:sz w:val="24"/>
          <w:szCs w:val="24"/>
        </w:rPr>
        <w:t>s</w:t>
      </w:r>
      <w:r w:rsidRPr="00113C90">
        <w:rPr>
          <w:rFonts w:ascii="Arial" w:hAnsi="Arial" w:cs="Arial"/>
          <w:b w:val="0"/>
          <w:bCs w:val="0"/>
          <w:color w:val="000000" w:themeColor="text1"/>
          <w:sz w:val="24"/>
          <w:szCs w:val="24"/>
        </w:rPr>
        <w:t xml:space="preserve"> for Irish law.</w:t>
      </w:r>
      <w:r w:rsidRPr="00113C90">
        <w:rPr>
          <w:rStyle w:val="FootnoteReference"/>
          <w:rFonts w:ascii="Arial" w:hAnsi="Arial" w:cs="Arial"/>
          <w:b w:val="0"/>
          <w:color w:val="000000" w:themeColor="text1"/>
          <w:sz w:val="24"/>
          <w:szCs w:val="24"/>
        </w:rPr>
        <w:footnoteReference w:id="2"/>
      </w:r>
      <w:r w:rsidRPr="00113C90">
        <w:rPr>
          <w:rFonts w:ascii="Arial" w:hAnsi="Arial" w:cs="Arial"/>
          <w:b w:val="0"/>
          <w:color w:val="000000" w:themeColor="text1"/>
          <w:sz w:val="24"/>
          <w:szCs w:val="24"/>
        </w:rPr>
        <w:t xml:space="preserve"> </w:t>
      </w:r>
      <w:r w:rsidRPr="00113C90">
        <w:rPr>
          <w:rFonts w:ascii="Arial" w:hAnsi="Arial" w:cs="Arial"/>
          <w:b w:val="0"/>
          <w:bCs w:val="0"/>
          <w:color w:val="000000" w:themeColor="text1"/>
          <w:sz w:val="24"/>
          <w:szCs w:val="24"/>
        </w:rPr>
        <w:t xml:space="preserve"> </w:t>
      </w:r>
      <w:r w:rsidR="00FB3615" w:rsidRPr="00113C90">
        <w:rPr>
          <w:rFonts w:ascii="Arial" w:hAnsi="Arial" w:cs="Arial"/>
          <w:b w:val="0"/>
          <w:bCs w:val="0"/>
          <w:color w:val="000000" w:themeColor="text1"/>
          <w:sz w:val="24"/>
          <w:szCs w:val="24"/>
        </w:rPr>
        <w:t>Since the end of 2009 th</w:t>
      </w:r>
      <w:r w:rsidRPr="00113C90">
        <w:rPr>
          <w:rFonts w:ascii="Arial" w:hAnsi="Arial" w:cs="Arial"/>
          <w:b w:val="0"/>
          <w:bCs w:val="0"/>
          <w:color w:val="000000" w:themeColor="text1"/>
          <w:sz w:val="24"/>
          <w:szCs w:val="24"/>
        </w:rPr>
        <w:t>is</w:t>
      </w:r>
      <w:r w:rsidR="00FB3615" w:rsidRPr="00113C90">
        <w:rPr>
          <w:rFonts w:ascii="Arial" w:hAnsi="Arial" w:cs="Arial"/>
          <w:b w:val="0"/>
          <w:bCs w:val="0"/>
          <w:color w:val="000000" w:themeColor="text1"/>
          <w:sz w:val="24"/>
          <w:szCs w:val="24"/>
        </w:rPr>
        <w:t xml:space="preserve"> </w:t>
      </w:r>
      <w:r w:rsidR="0043253E">
        <w:rPr>
          <w:rFonts w:ascii="Arial" w:hAnsi="Arial" w:cs="Arial"/>
          <w:b w:val="0"/>
          <w:bCs w:val="0"/>
          <w:color w:val="000000" w:themeColor="text1"/>
          <w:sz w:val="24"/>
          <w:szCs w:val="24"/>
        </w:rPr>
        <w:t xml:space="preserve">EU </w:t>
      </w:r>
      <w:r w:rsidR="00FB3615" w:rsidRPr="00113C90">
        <w:rPr>
          <w:rFonts w:ascii="Arial" w:hAnsi="Arial" w:cs="Arial"/>
          <w:b w:val="0"/>
          <w:bCs w:val="0"/>
          <w:color w:val="000000" w:themeColor="text1"/>
          <w:sz w:val="24"/>
          <w:szCs w:val="24"/>
        </w:rPr>
        <w:t>bill</w:t>
      </w:r>
      <w:r w:rsidR="00FB3615" w:rsidRPr="00113C90">
        <w:rPr>
          <w:rFonts w:ascii="Arial" w:hAnsi="Arial" w:cs="Arial"/>
          <w:b w:val="0"/>
          <w:color w:val="000000" w:themeColor="text1"/>
          <w:sz w:val="24"/>
          <w:szCs w:val="24"/>
        </w:rPr>
        <w:t xml:space="preserve"> of rights</w:t>
      </w:r>
      <w:r w:rsidRPr="00113C90">
        <w:rPr>
          <w:rFonts w:ascii="Arial" w:hAnsi="Arial" w:cs="Arial"/>
          <w:b w:val="0"/>
          <w:color w:val="000000" w:themeColor="text1"/>
          <w:sz w:val="24"/>
          <w:szCs w:val="24"/>
        </w:rPr>
        <w:t xml:space="preserve"> </w:t>
      </w:r>
      <w:r w:rsidR="00FB3615" w:rsidRPr="00113C90">
        <w:rPr>
          <w:rFonts w:ascii="Arial" w:hAnsi="Arial" w:cs="Arial"/>
          <w:b w:val="0"/>
          <w:color w:val="000000" w:themeColor="text1"/>
          <w:sz w:val="24"/>
          <w:szCs w:val="24"/>
        </w:rPr>
        <w:t xml:space="preserve">is binding on EU institutions and on </w:t>
      </w:r>
      <w:r w:rsidR="00FB3615" w:rsidRPr="00113C90">
        <w:rPr>
          <w:rFonts w:ascii="Arial" w:hAnsi="Arial" w:cs="Arial"/>
          <w:b w:val="0"/>
          <w:bCs w:val="0"/>
          <w:color w:val="000000" w:themeColor="text1"/>
          <w:sz w:val="24"/>
          <w:szCs w:val="24"/>
        </w:rPr>
        <w:t>Member States when th</w:t>
      </w:r>
      <w:r w:rsidR="00026A3C" w:rsidRPr="00113C90">
        <w:rPr>
          <w:rFonts w:ascii="Arial" w:hAnsi="Arial" w:cs="Arial"/>
          <w:b w:val="0"/>
          <w:bCs w:val="0"/>
          <w:color w:val="000000" w:themeColor="text1"/>
          <w:sz w:val="24"/>
          <w:szCs w:val="24"/>
        </w:rPr>
        <w:t>e</w:t>
      </w:r>
      <w:r w:rsidR="00BB53F5" w:rsidRPr="00113C90">
        <w:rPr>
          <w:rFonts w:ascii="Arial" w:hAnsi="Arial" w:cs="Arial"/>
          <w:b w:val="0"/>
          <w:bCs w:val="0"/>
          <w:color w:val="000000" w:themeColor="text1"/>
          <w:sz w:val="24"/>
          <w:szCs w:val="24"/>
        </w:rPr>
        <w:t>y</w:t>
      </w:r>
      <w:r w:rsidR="00FB3615" w:rsidRPr="00113C90">
        <w:rPr>
          <w:rFonts w:ascii="Arial" w:hAnsi="Arial" w:cs="Arial"/>
          <w:b w:val="0"/>
          <w:bCs w:val="0"/>
          <w:color w:val="000000" w:themeColor="text1"/>
          <w:sz w:val="24"/>
          <w:szCs w:val="24"/>
        </w:rPr>
        <w:t xml:space="preserve"> are </w:t>
      </w:r>
      <w:r w:rsidRPr="00113C90">
        <w:rPr>
          <w:rFonts w:ascii="Arial" w:hAnsi="Arial" w:cs="Arial"/>
          <w:b w:val="0"/>
          <w:bCs w:val="0"/>
          <w:color w:val="000000" w:themeColor="text1"/>
          <w:sz w:val="24"/>
          <w:szCs w:val="24"/>
        </w:rPr>
        <w:t xml:space="preserve">implementing or acting </w:t>
      </w:r>
      <w:r w:rsidR="00FB3615" w:rsidRPr="00113C90">
        <w:rPr>
          <w:rFonts w:ascii="Arial" w:hAnsi="Arial" w:cs="Arial"/>
          <w:b w:val="0"/>
          <w:bCs w:val="0"/>
          <w:color w:val="000000" w:themeColor="text1"/>
          <w:sz w:val="24"/>
          <w:szCs w:val="24"/>
        </w:rPr>
        <w:t>within the scope of EU law.</w:t>
      </w:r>
      <w:r w:rsidR="00BB53F5" w:rsidRPr="00113C90">
        <w:rPr>
          <w:rFonts w:ascii="Arial" w:hAnsi="Arial" w:cs="Arial"/>
          <w:b w:val="0"/>
          <w:bCs w:val="0"/>
          <w:color w:val="000000" w:themeColor="text1"/>
          <w:sz w:val="24"/>
          <w:szCs w:val="24"/>
        </w:rPr>
        <w:t xml:space="preserve"> </w:t>
      </w:r>
      <w:r w:rsidR="001801F7" w:rsidRPr="00113C90">
        <w:rPr>
          <w:rFonts w:ascii="Arial" w:eastAsia="Times New Roman" w:hAnsi="Arial" w:cs="Arial"/>
          <w:b w:val="0"/>
          <w:bCs w:val="0"/>
          <w:color w:val="000000" w:themeColor="text1"/>
          <w:sz w:val="24"/>
          <w:szCs w:val="24"/>
        </w:rPr>
        <w:t xml:space="preserve">In 2015, the European Parliament stressed that “national authorities (judicial authorities, law enforcement bodies and administrations) are key actors in giving concrete effect to the rights and freedoms enshrined in the </w:t>
      </w:r>
      <w:r w:rsidR="00160C04">
        <w:rPr>
          <w:rFonts w:ascii="Arial" w:eastAsia="Times New Roman" w:hAnsi="Arial" w:cs="Arial"/>
          <w:b w:val="0"/>
          <w:bCs w:val="0"/>
          <w:color w:val="000000" w:themeColor="text1"/>
          <w:sz w:val="24"/>
          <w:szCs w:val="24"/>
        </w:rPr>
        <w:t>Charter</w:t>
      </w:r>
      <w:r w:rsidR="001801F7" w:rsidRPr="00113C90">
        <w:rPr>
          <w:rFonts w:ascii="Arial" w:eastAsia="Times New Roman" w:hAnsi="Arial" w:cs="Arial"/>
          <w:b w:val="0"/>
          <w:bCs w:val="0"/>
          <w:color w:val="000000" w:themeColor="text1"/>
          <w:sz w:val="24"/>
          <w:szCs w:val="24"/>
        </w:rPr>
        <w:t>”….</w:t>
      </w:r>
      <w:r w:rsidR="001801F7" w:rsidRPr="00113C90">
        <w:rPr>
          <w:rStyle w:val="FootnoteReference"/>
          <w:rFonts w:ascii="Arial" w:eastAsia="Times New Roman" w:hAnsi="Arial" w:cs="Arial"/>
          <w:b w:val="0"/>
          <w:bCs w:val="0"/>
          <w:color w:val="000000" w:themeColor="text1"/>
          <w:sz w:val="24"/>
          <w:szCs w:val="24"/>
        </w:rPr>
        <w:footnoteReference w:id="3"/>
      </w:r>
      <w:r w:rsidR="001801F7" w:rsidRPr="00113C90">
        <w:rPr>
          <w:rFonts w:ascii="Arial" w:eastAsia="Times New Roman" w:hAnsi="Arial" w:cs="Arial"/>
          <w:b w:val="0"/>
          <w:bCs w:val="0"/>
          <w:color w:val="000000" w:themeColor="text1"/>
          <w:sz w:val="24"/>
          <w:szCs w:val="24"/>
        </w:rPr>
        <w:t xml:space="preserve"> Legal practitioners</w:t>
      </w:r>
      <w:r w:rsidR="0043253E">
        <w:rPr>
          <w:rFonts w:ascii="Arial" w:eastAsia="Times New Roman" w:hAnsi="Arial" w:cs="Arial"/>
          <w:b w:val="0"/>
          <w:bCs w:val="0"/>
          <w:color w:val="000000" w:themeColor="text1"/>
          <w:sz w:val="24"/>
          <w:szCs w:val="24"/>
        </w:rPr>
        <w:t xml:space="preserve">, </w:t>
      </w:r>
      <w:r w:rsidR="001801F7" w:rsidRPr="00113C90">
        <w:rPr>
          <w:rFonts w:ascii="Arial" w:eastAsia="Times New Roman" w:hAnsi="Arial" w:cs="Arial"/>
          <w:b w:val="0"/>
          <w:bCs w:val="0"/>
          <w:color w:val="000000" w:themeColor="text1"/>
          <w:sz w:val="24"/>
          <w:szCs w:val="24"/>
        </w:rPr>
        <w:t>particularly</w:t>
      </w:r>
      <w:r w:rsidR="0043253E">
        <w:rPr>
          <w:rFonts w:ascii="Arial" w:eastAsia="Times New Roman" w:hAnsi="Arial" w:cs="Arial"/>
          <w:b w:val="0"/>
          <w:bCs w:val="0"/>
          <w:color w:val="000000" w:themeColor="text1"/>
          <w:sz w:val="24"/>
          <w:szCs w:val="24"/>
        </w:rPr>
        <w:t xml:space="preserve">,have to be familiar with </w:t>
      </w:r>
      <w:r w:rsidR="00160C04">
        <w:rPr>
          <w:rFonts w:ascii="Arial" w:eastAsia="Times New Roman" w:hAnsi="Arial" w:cs="Arial"/>
          <w:b w:val="0"/>
          <w:bCs w:val="0"/>
          <w:color w:val="000000" w:themeColor="text1"/>
          <w:sz w:val="24"/>
          <w:szCs w:val="24"/>
        </w:rPr>
        <w:t>Charter</w:t>
      </w:r>
      <w:r w:rsidRPr="00113C90">
        <w:rPr>
          <w:rFonts w:ascii="Arial" w:eastAsia="Times New Roman" w:hAnsi="Arial" w:cs="Arial"/>
          <w:b w:val="0"/>
          <w:bCs w:val="0"/>
          <w:color w:val="000000" w:themeColor="text1"/>
          <w:sz w:val="24"/>
          <w:szCs w:val="24"/>
        </w:rPr>
        <w:t xml:space="preserve"> </w:t>
      </w:r>
      <w:r w:rsidR="001801F7" w:rsidRPr="00113C90">
        <w:rPr>
          <w:rFonts w:ascii="Arial" w:eastAsia="Times New Roman" w:hAnsi="Arial" w:cs="Arial"/>
          <w:b w:val="0"/>
          <w:bCs w:val="0"/>
          <w:color w:val="000000" w:themeColor="text1"/>
          <w:sz w:val="24"/>
          <w:szCs w:val="24"/>
        </w:rPr>
        <w:t>rights if these are to be implemented in practice. In June 2015, the Council of the European Union noted that it is “necessary to continue promoting training and best practice sharing in the field of judiciary at national and EU level thus enhancing mutual trust”.</w:t>
      </w:r>
      <w:r w:rsidR="001801F7" w:rsidRPr="00113C90">
        <w:rPr>
          <w:rStyle w:val="FootnoteReference"/>
          <w:rFonts w:ascii="Arial" w:eastAsia="Times New Roman" w:hAnsi="Arial" w:cs="Arial"/>
          <w:b w:val="0"/>
          <w:bCs w:val="0"/>
          <w:color w:val="000000" w:themeColor="text1"/>
          <w:sz w:val="24"/>
          <w:szCs w:val="24"/>
        </w:rPr>
        <w:footnoteReference w:id="4"/>
      </w:r>
    </w:p>
    <w:p w14:paraId="78E66529" w14:textId="77777777" w:rsidR="008D2919" w:rsidRPr="00113C90" w:rsidRDefault="008D2919" w:rsidP="00113C90">
      <w:pPr>
        <w:pStyle w:val="BodyText"/>
        <w:jc w:val="both"/>
        <w:rPr>
          <w:rFonts w:ascii="Arial" w:hAnsi="Arial" w:cs="Arial"/>
          <w:b w:val="0"/>
        </w:rPr>
      </w:pPr>
    </w:p>
    <w:p w14:paraId="6569022D" w14:textId="66474E85" w:rsidR="00445BBE" w:rsidRPr="00113C90" w:rsidRDefault="00445BBE" w:rsidP="00113C90">
      <w:pPr>
        <w:pStyle w:val="BodyText"/>
        <w:jc w:val="both"/>
        <w:rPr>
          <w:rFonts w:ascii="Arial" w:hAnsi="Arial" w:cs="Arial"/>
        </w:rPr>
      </w:pPr>
      <w:r w:rsidRPr="00113C90">
        <w:rPr>
          <w:rFonts w:ascii="Arial" w:hAnsi="Arial" w:cs="Arial"/>
          <w:b w:val="0"/>
        </w:rPr>
        <w:lastRenderedPageBreak/>
        <w:t xml:space="preserve">The </w:t>
      </w:r>
      <w:r w:rsidR="006A14AE" w:rsidRPr="00113C90">
        <w:rPr>
          <w:rFonts w:ascii="Arial" w:hAnsi="Arial" w:cs="Arial"/>
          <w:b w:val="0"/>
        </w:rPr>
        <w:t xml:space="preserve">original </w:t>
      </w:r>
      <w:r w:rsidR="00160C04">
        <w:rPr>
          <w:rFonts w:ascii="Arial" w:hAnsi="Arial" w:cs="Arial"/>
          <w:b w:val="0"/>
        </w:rPr>
        <w:t>Charter</w:t>
      </w:r>
      <w:r w:rsidRPr="00113C90">
        <w:rPr>
          <w:rFonts w:ascii="Arial" w:hAnsi="Arial" w:cs="Arial"/>
          <w:b w:val="0"/>
        </w:rPr>
        <w:t xml:space="preserve"> was ‘jointly and solemnly proclaimed’ at Nice in 2000.</w:t>
      </w:r>
      <w:r w:rsidRPr="00113C90">
        <w:rPr>
          <w:rStyle w:val="FootnoteReference"/>
          <w:rFonts w:ascii="Arial" w:hAnsi="Arial" w:cs="Arial"/>
          <w:b w:val="0"/>
        </w:rPr>
        <w:footnoteReference w:id="5"/>
      </w:r>
      <w:r w:rsidRPr="00113C90">
        <w:rPr>
          <w:rFonts w:ascii="Arial" w:hAnsi="Arial" w:cs="Arial"/>
          <w:b w:val="0"/>
        </w:rPr>
        <w:t xml:space="preserve"> </w:t>
      </w:r>
      <w:r w:rsidR="006A14AE" w:rsidRPr="00113C90">
        <w:rPr>
          <w:rFonts w:ascii="Arial" w:hAnsi="Arial" w:cs="Arial"/>
          <w:b w:val="0"/>
        </w:rPr>
        <w:t xml:space="preserve">It was then modified and in </w:t>
      </w:r>
      <w:r w:rsidRPr="00113C90">
        <w:rPr>
          <w:rFonts w:ascii="Arial" w:hAnsi="Arial" w:cs="Arial"/>
          <w:b w:val="0"/>
        </w:rPr>
        <w:t xml:space="preserve">2007, now with 54 rights, </w:t>
      </w:r>
      <w:r w:rsidR="006A14AE" w:rsidRPr="00113C90">
        <w:rPr>
          <w:rFonts w:ascii="Arial" w:hAnsi="Arial" w:cs="Arial"/>
          <w:b w:val="0"/>
        </w:rPr>
        <w:t xml:space="preserve">was </w:t>
      </w:r>
      <w:r w:rsidRPr="00113C90">
        <w:rPr>
          <w:rFonts w:ascii="Arial" w:hAnsi="Arial" w:cs="Arial"/>
          <w:b w:val="0"/>
        </w:rPr>
        <w:t xml:space="preserve">incorporated into </w:t>
      </w:r>
      <w:r w:rsidR="00BB53F5" w:rsidRPr="00113C90">
        <w:rPr>
          <w:rFonts w:ascii="Arial" w:hAnsi="Arial" w:cs="Arial"/>
          <w:b w:val="0"/>
        </w:rPr>
        <w:t>E</w:t>
      </w:r>
      <w:r w:rsidR="0043253E">
        <w:rPr>
          <w:rFonts w:ascii="Arial" w:hAnsi="Arial" w:cs="Arial"/>
          <w:b w:val="0"/>
        </w:rPr>
        <w:t>U</w:t>
      </w:r>
      <w:r w:rsidR="001F64EF">
        <w:rPr>
          <w:rFonts w:ascii="Arial" w:hAnsi="Arial" w:cs="Arial"/>
          <w:b w:val="0"/>
        </w:rPr>
        <w:t xml:space="preserve"> </w:t>
      </w:r>
      <w:r w:rsidRPr="00113C90">
        <w:rPr>
          <w:rFonts w:ascii="Arial" w:hAnsi="Arial" w:cs="Arial"/>
          <w:b w:val="0"/>
        </w:rPr>
        <w:t xml:space="preserve">Treaty law </w:t>
      </w:r>
      <w:r w:rsidR="005142B2">
        <w:rPr>
          <w:rFonts w:ascii="Arial" w:hAnsi="Arial" w:cs="Arial"/>
          <w:b w:val="0"/>
        </w:rPr>
        <w:t xml:space="preserve">in </w:t>
      </w:r>
      <w:r w:rsidRPr="00113C90">
        <w:rPr>
          <w:rFonts w:ascii="Arial" w:hAnsi="Arial" w:cs="Arial"/>
          <w:b w:val="0"/>
        </w:rPr>
        <w:t>Article 6 TFEU:</w:t>
      </w:r>
      <w:r w:rsidRPr="00113C90">
        <w:rPr>
          <w:rStyle w:val="FootnoteReference"/>
          <w:rFonts w:ascii="Arial" w:hAnsi="Arial" w:cs="Arial"/>
          <w:b w:val="0"/>
        </w:rPr>
        <w:footnoteReference w:id="6"/>
      </w:r>
      <w:r w:rsidRPr="00113C90">
        <w:rPr>
          <w:rFonts w:ascii="Arial" w:hAnsi="Arial" w:cs="Arial"/>
        </w:rPr>
        <w:t xml:space="preserve"> </w:t>
      </w:r>
    </w:p>
    <w:p w14:paraId="28C26977" w14:textId="77777777" w:rsidR="00BB53F5" w:rsidRPr="00113C90" w:rsidRDefault="00BB53F5" w:rsidP="00113C90">
      <w:pPr>
        <w:pStyle w:val="BodyText"/>
        <w:jc w:val="both"/>
        <w:rPr>
          <w:rFonts w:ascii="Arial" w:hAnsi="Arial" w:cs="Arial"/>
        </w:rPr>
      </w:pPr>
    </w:p>
    <w:p w14:paraId="000ECB43" w14:textId="456F2352" w:rsidR="00445BBE" w:rsidRDefault="00445BBE" w:rsidP="00113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rPr>
          <w:rFonts w:ascii="Arial" w:hAnsi="Arial" w:cs="Arial"/>
        </w:rPr>
      </w:pPr>
      <w:r w:rsidRPr="00113C90">
        <w:rPr>
          <w:rFonts w:ascii="Arial" w:hAnsi="Arial" w:cs="Arial"/>
        </w:rPr>
        <w:t xml:space="preserve">“1. The Union recognises the rights, freedoms and principles set out in the </w:t>
      </w:r>
      <w:r w:rsidR="00160C04">
        <w:rPr>
          <w:rFonts w:ascii="Arial" w:hAnsi="Arial" w:cs="Arial"/>
        </w:rPr>
        <w:t>Charter</w:t>
      </w:r>
      <w:r w:rsidRPr="00113C90">
        <w:rPr>
          <w:rFonts w:ascii="Arial" w:hAnsi="Arial" w:cs="Arial"/>
        </w:rPr>
        <w:t xml:space="preserve"> of Fundamental Rights of the European Union of 7 December 2000, as adapted at Strasbourg, on 12 December 2007, </w:t>
      </w:r>
      <w:r w:rsidRPr="00113C90">
        <w:rPr>
          <w:rFonts w:ascii="Arial" w:hAnsi="Arial" w:cs="Arial"/>
          <w:u w:val="single"/>
        </w:rPr>
        <w:t>which shall have the same legal value as the Treaties</w:t>
      </w:r>
      <w:r w:rsidRPr="00113C90">
        <w:rPr>
          <w:rFonts w:ascii="Arial" w:hAnsi="Arial" w:cs="Arial"/>
        </w:rPr>
        <w:t xml:space="preserve">. The provisions of the </w:t>
      </w:r>
      <w:r w:rsidR="00160C04">
        <w:rPr>
          <w:rFonts w:ascii="Arial" w:hAnsi="Arial" w:cs="Arial"/>
        </w:rPr>
        <w:t>Charter</w:t>
      </w:r>
      <w:r w:rsidRPr="00113C90">
        <w:rPr>
          <w:rFonts w:ascii="Arial" w:hAnsi="Arial" w:cs="Arial"/>
        </w:rPr>
        <w:t xml:space="preserve"> shall not extend in any way the competences of the Union as defined in the Treaties. The rights, freedoms and principles in the </w:t>
      </w:r>
      <w:r w:rsidR="00160C04">
        <w:rPr>
          <w:rFonts w:ascii="Arial" w:hAnsi="Arial" w:cs="Arial"/>
        </w:rPr>
        <w:t>Charter</w:t>
      </w:r>
      <w:r w:rsidRPr="00113C90">
        <w:rPr>
          <w:rFonts w:ascii="Arial" w:hAnsi="Arial" w:cs="Arial"/>
        </w:rPr>
        <w:t xml:space="preserve"> shall be interpreted in accordance with the general provisions in Title VII of the </w:t>
      </w:r>
      <w:r w:rsidR="00160C04">
        <w:rPr>
          <w:rFonts w:ascii="Arial" w:hAnsi="Arial" w:cs="Arial"/>
        </w:rPr>
        <w:t>Charter</w:t>
      </w:r>
      <w:r w:rsidRPr="00113C90">
        <w:rPr>
          <w:rFonts w:ascii="Arial" w:hAnsi="Arial" w:cs="Arial"/>
        </w:rPr>
        <w:t xml:space="preserve"> governing its interpretation and application and </w:t>
      </w:r>
      <w:r w:rsidRPr="00113C90">
        <w:rPr>
          <w:rFonts w:ascii="Arial" w:hAnsi="Arial" w:cs="Arial"/>
          <w:u w:val="single"/>
        </w:rPr>
        <w:t xml:space="preserve">with due regard to the </w:t>
      </w:r>
      <w:r w:rsidR="00871ECA">
        <w:rPr>
          <w:rFonts w:ascii="Arial" w:hAnsi="Arial" w:cs="Arial"/>
          <w:u w:val="single"/>
        </w:rPr>
        <w:t>Explanations</w:t>
      </w:r>
      <w:r w:rsidRPr="00113C90">
        <w:rPr>
          <w:rFonts w:ascii="Arial" w:hAnsi="Arial" w:cs="Arial"/>
          <w:u w:val="single"/>
        </w:rPr>
        <w:t xml:space="preserve"> referred to in the </w:t>
      </w:r>
      <w:r w:rsidR="00160C04">
        <w:rPr>
          <w:rFonts w:ascii="Arial" w:hAnsi="Arial" w:cs="Arial"/>
          <w:u w:val="single"/>
        </w:rPr>
        <w:t>Charter</w:t>
      </w:r>
      <w:r w:rsidRPr="00113C90">
        <w:rPr>
          <w:rFonts w:ascii="Arial" w:hAnsi="Arial" w:cs="Arial"/>
        </w:rPr>
        <w:t>, that set out the sources of those provisions…</w:t>
      </w:r>
      <w:r w:rsidRPr="00113C90">
        <w:rPr>
          <w:rStyle w:val="FootnoteReference"/>
          <w:rFonts w:ascii="Arial" w:hAnsi="Arial" w:cs="Arial"/>
        </w:rPr>
        <w:footnoteReference w:id="7"/>
      </w:r>
    </w:p>
    <w:p w14:paraId="55A9A814" w14:textId="77777777" w:rsidR="00BF4ABE" w:rsidRDefault="00BF4ABE" w:rsidP="00113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4"/>
          <w:szCs w:val="24"/>
        </w:rPr>
      </w:pPr>
    </w:p>
    <w:p w14:paraId="199DA030" w14:textId="36EC9792" w:rsidR="00BF4ABE" w:rsidRPr="00BF4ABE" w:rsidRDefault="00325178" w:rsidP="00113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sz w:val="24"/>
          <w:szCs w:val="24"/>
        </w:rPr>
      </w:pPr>
      <w:r>
        <w:rPr>
          <w:rFonts w:ascii="Arial" w:hAnsi="Arial" w:cs="Arial"/>
          <w:sz w:val="24"/>
          <w:szCs w:val="24"/>
        </w:rPr>
        <w:t>A signific</w:t>
      </w:r>
      <w:r w:rsidR="00046482">
        <w:rPr>
          <w:rFonts w:ascii="Arial" w:hAnsi="Arial" w:cs="Arial"/>
          <w:sz w:val="24"/>
          <w:szCs w:val="24"/>
        </w:rPr>
        <w:t>ant</w:t>
      </w:r>
      <w:r>
        <w:rPr>
          <w:rFonts w:ascii="Arial" w:hAnsi="Arial" w:cs="Arial"/>
          <w:sz w:val="24"/>
          <w:szCs w:val="24"/>
        </w:rPr>
        <w:t xml:space="preserve"> addition to the Charter are the </w:t>
      </w:r>
      <w:r w:rsidR="00BF4ABE">
        <w:rPr>
          <w:rFonts w:ascii="Arial" w:hAnsi="Arial" w:cs="Arial"/>
          <w:sz w:val="24"/>
          <w:szCs w:val="24"/>
        </w:rPr>
        <w:t xml:space="preserve">The </w:t>
      </w:r>
      <w:r w:rsidR="00871ECA" w:rsidRPr="0043253E">
        <w:rPr>
          <w:rFonts w:ascii="Arial" w:hAnsi="Arial" w:cs="Arial"/>
          <w:i/>
          <w:sz w:val="24"/>
          <w:szCs w:val="24"/>
        </w:rPr>
        <w:t>Explanations</w:t>
      </w:r>
      <w:r w:rsidR="00BF4ABE" w:rsidRPr="0043253E">
        <w:rPr>
          <w:rFonts w:ascii="Arial" w:hAnsi="Arial" w:cs="Arial"/>
          <w:i/>
          <w:sz w:val="24"/>
          <w:szCs w:val="24"/>
        </w:rPr>
        <w:t xml:space="preserve"> relating to the Charter of Fundamental Rights</w:t>
      </w:r>
      <w:r w:rsidR="00BF4ABE">
        <w:rPr>
          <w:rFonts w:ascii="Arial" w:hAnsi="Arial" w:cs="Arial"/>
          <w:sz w:val="24"/>
          <w:szCs w:val="24"/>
        </w:rPr>
        <w:t xml:space="preserve"> </w:t>
      </w:r>
      <w:r w:rsidR="0043253E">
        <w:rPr>
          <w:rFonts w:ascii="Arial" w:hAnsi="Arial" w:cs="Arial"/>
          <w:sz w:val="24"/>
          <w:szCs w:val="24"/>
        </w:rPr>
        <w:t>(</w:t>
      </w:r>
      <w:r w:rsidR="0043253E" w:rsidRPr="0043253E">
        <w:rPr>
          <w:rFonts w:ascii="Arial" w:hAnsi="Arial" w:cs="Arial"/>
          <w:i/>
          <w:sz w:val="24"/>
          <w:szCs w:val="24"/>
        </w:rPr>
        <w:t>Explanations</w:t>
      </w:r>
      <w:r w:rsidR="0043253E" w:rsidRPr="0043253E">
        <w:rPr>
          <w:rFonts w:ascii="Arial" w:hAnsi="Arial" w:cs="Arial"/>
          <w:sz w:val="24"/>
          <w:szCs w:val="24"/>
        </w:rPr>
        <w:t>)</w:t>
      </w:r>
      <w:r>
        <w:rPr>
          <w:rFonts w:ascii="Arial" w:hAnsi="Arial" w:cs="Arial"/>
          <w:sz w:val="24"/>
          <w:szCs w:val="24"/>
        </w:rPr>
        <w:t xml:space="preserve">, </w:t>
      </w:r>
      <w:r w:rsidR="00BF4ABE">
        <w:rPr>
          <w:rFonts w:ascii="Arial" w:hAnsi="Arial" w:cs="Arial"/>
          <w:sz w:val="24"/>
          <w:szCs w:val="24"/>
        </w:rPr>
        <w:t xml:space="preserve">described in </w:t>
      </w:r>
      <w:r w:rsidR="00BF4ABE" w:rsidRPr="00113C90">
        <w:rPr>
          <w:rFonts w:ascii="Arial" w:hAnsi="Arial" w:cs="Arial"/>
          <w:sz w:val="24"/>
          <w:szCs w:val="24"/>
        </w:rPr>
        <w:t xml:space="preserve">Article 52(7): “The </w:t>
      </w:r>
      <w:r w:rsidR="00871ECA">
        <w:rPr>
          <w:rFonts w:ascii="Arial" w:hAnsi="Arial" w:cs="Arial"/>
          <w:sz w:val="24"/>
          <w:szCs w:val="24"/>
        </w:rPr>
        <w:t>Explanations</w:t>
      </w:r>
      <w:r w:rsidR="00BF4ABE" w:rsidRPr="00113C90">
        <w:rPr>
          <w:rFonts w:ascii="Arial" w:hAnsi="Arial" w:cs="Arial"/>
          <w:sz w:val="24"/>
          <w:szCs w:val="24"/>
        </w:rPr>
        <w:t xml:space="preserve"> drawn up as a way of providing guidance in the interpretation of this </w:t>
      </w:r>
      <w:r w:rsidR="00BF4ABE">
        <w:rPr>
          <w:rFonts w:ascii="Arial" w:hAnsi="Arial" w:cs="Arial"/>
          <w:sz w:val="24"/>
          <w:szCs w:val="24"/>
        </w:rPr>
        <w:t>Charter</w:t>
      </w:r>
      <w:r w:rsidR="00BF4ABE" w:rsidRPr="00113C90">
        <w:rPr>
          <w:rFonts w:ascii="Arial" w:hAnsi="Arial" w:cs="Arial"/>
          <w:sz w:val="24"/>
          <w:szCs w:val="24"/>
        </w:rPr>
        <w:t xml:space="preserve"> shall be given due regard by the courts of the Union and of the Member States.”</w:t>
      </w:r>
      <w:r w:rsidR="00BF4ABE" w:rsidRPr="00113C90">
        <w:rPr>
          <w:rStyle w:val="FootnoteReference"/>
          <w:rFonts w:ascii="Arial" w:hAnsi="Arial" w:cs="Arial"/>
          <w:sz w:val="24"/>
          <w:szCs w:val="24"/>
        </w:rPr>
        <w:footnoteReference w:id="8"/>
      </w:r>
    </w:p>
    <w:p w14:paraId="10CA24AC" w14:textId="77777777" w:rsidR="00113C90" w:rsidRPr="00113C90" w:rsidRDefault="00113C90" w:rsidP="00113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4"/>
          <w:szCs w:val="24"/>
        </w:rPr>
      </w:pPr>
    </w:p>
    <w:p w14:paraId="7AC09490" w14:textId="149A53E3" w:rsidR="00B7258E" w:rsidRPr="00113C90" w:rsidRDefault="008D2919" w:rsidP="00113C90">
      <w:pPr>
        <w:spacing w:after="0" w:line="240" w:lineRule="auto"/>
        <w:rPr>
          <w:rFonts w:ascii="Arial" w:hAnsi="Arial" w:cs="Arial"/>
          <w:b/>
          <w:sz w:val="24"/>
          <w:szCs w:val="24"/>
        </w:rPr>
      </w:pPr>
      <w:r w:rsidRPr="00113C90">
        <w:rPr>
          <w:rFonts w:ascii="Arial" w:hAnsi="Arial" w:cs="Arial"/>
          <w:sz w:val="24"/>
          <w:szCs w:val="24"/>
        </w:rPr>
        <w:t xml:space="preserve">The European Agency for Fundamental Rights (FRA) promotes the </w:t>
      </w:r>
      <w:r w:rsidR="00160C04">
        <w:rPr>
          <w:rFonts w:ascii="Arial" w:hAnsi="Arial" w:cs="Arial"/>
          <w:sz w:val="24"/>
          <w:szCs w:val="24"/>
        </w:rPr>
        <w:t>Charter</w:t>
      </w:r>
      <w:r w:rsidRPr="00113C90">
        <w:rPr>
          <w:rFonts w:ascii="Arial" w:hAnsi="Arial" w:cs="Arial"/>
          <w:sz w:val="24"/>
          <w:szCs w:val="24"/>
        </w:rPr>
        <w:t xml:space="preserve"> and its </w:t>
      </w:r>
      <w:r w:rsidR="00160C04">
        <w:rPr>
          <w:rFonts w:ascii="Arial" w:eastAsia="Times New Roman" w:hAnsi="Arial" w:cs="Arial"/>
          <w:i/>
          <w:sz w:val="24"/>
          <w:szCs w:val="24"/>
        </w:rPr>
        <w:t>Charter</w:t>
      </w:r>
      <w:r w:rsidRPr="00113C90">
        <w:rPr>
          <w:rFonts w:ascii="Arial" w:eastAsia="Times New Roman" w:hAnsi="Arial" w:cs="Arial"/>
          <w:i/>
          <w:sz w:val="24"/>
          <w:szCs w:val="24"/>
        </w:rPr>
        <w:t>pedia</w:t>
      </w:r>
      <w:r w:rsidRPr="00113C90">
        <w:rPr>
          <w:rFonts w:ascii="Arial" w:eastAsia="Times New Roman" w:hAnsi="Arial" w:cs="Arial"/>
          <w:sz w:val="24"/>
          <w:szCs w:val="24"/>
        </w:rPr>
        <w:t xml:space="preserve"> is an online tool which provides easy-to-access information about that encompassing fundamental rights framework</w:t>
      </w:r>
      <w:r w:rsidR="0043253E">
        <w:rPr>
          <w:rFonts w:ascii="Arial" w:eastAsia="Times New Roman" w:hAnsi="Arial" w:cs="Arial"/>
          <w:sz w:val="24"/>
          <w:szCs w:val="24"/>
        </w:rPr>
        <w:t xml:space="preserve">. It </w:t>
      </w:r>
      <w:r w:rsidRPr="00113C90">
        <w:rPr>
          <w:rFonts w:ascii="Arial" w:eastAsia="Times New Roman" w:hAnsi="Arial" w:cs="Arial"/>
          <w:sz w:val="24"/>
          <w:szCs w:val="24"/>
        </w:rPr>
        <w:t xml:space="preserve">includes the full text and legal </w:t>
      </w:r>
      <w:r w:rsidR="00871ECA" w:rsidRPr="0043253E">
        <w:rPr>
          <w:rFonts w:ascii="Arial" w:eastAsia="Times New Roman" w:hAnsi="Arial" w:cs="Arial"/>
          <w:i/>
          <w:sz w:val="24"/>
          <w:szCs w:val="24"/>
        </w:rPr>
        <w:t>Explanations</w:t>
      </w:r>
      <w:r w:rsidRPr="00113C90">
        <w:rPr>
          <w:rFonts w:ascii="Arial" w:eastAsia="Times New Roman" w:hAnsi="Arial" w:cs="Arial"/>
          <w:sz w:val="24"/>
          <w:szCs w:val="24"/>
        </w:rPr>
        <w:t xml:space="preserve"> of the </w:t>
      </w:r>
      <w:r w:rsidR="00160C04">
        <w:rPr>
          <w:rFonts w:ascii="Arial" w:eastAsia="Times New Roman" w:hAnsi="Arial" w:cs="Arial"/>
          <w:sz w:val="24"/>
          <w:szCs w:val="24"/>
        </w:rPr>
        <w:t>Charter</w:t>
      </w:r>
      <w:r w:rsidRPr="00113C90">
        <w:rPr>
          <w:rFonts w:ascii="Arial" w:eastAsia="Times New Roman" w:hAnsi="Arial" w:cs="Arial"/>
          <w:sz w:val="24"/>
          <w:szCs w:val="24"/>
        </w:rPr>
        <w:t xml:space="preserve"> articles, related EU and national case law, and related FRA publications, provided on an article-by-article basis.</w:t>
      </w:r>
      <w:r w:rsidRPr="00113C90">
        <w:rPr>
          <w:rStyle w:val="FootnoteReference"/>
          <w:rFonts w:ascii="Arial" w:eastAsia="Times New Roman" w:hAnsi="Arial" w:cs="Arial"/>
          <w:sz w:val="24"/>
          <w:szCs w:val="24"/>
        </w:rPr>
        <w:footnoteReference w:id="9"/>
      </w:r>
      <w:r w:rsidRPr="00113C90">
        <w:rPr>
          <w:rFonts w:ascii="Arial" w:eastAsia="Times New Roman" w:hAnsi="Arial" w:cs="Arial"/>
          <w:sz w:val="24"/>
          <w:szCs w:val="24"/>
        </w:rPr>
        <w:t xml:space="preserve"> To ensure the implementation of fundamental rights and freedoms enshrined in the </w:t>
      </w:r>
      <w:r w:rsidR="00160C04">
        <w:rPr>
          <w:rFonts w:ascii="Arial" w:hAnsi="Arial" w:cs="Arial"/>
          <w:sz w:val="24"/>
          <w:szCs w:val="24"/>
        </w:rPr>
        <w:t>Charter</w:t>
      </w:r>
      <w:r w:rsidR="00160C04">
        <w:rPr>
          <w:rFonts w:ascii="Arial" w:eastAsia="Times New Roman" w:hAnsi="Arial" w:cs="Arial"/>
          <w:sz w:val="24"/>
          <w:szCs w:val="24"/>
        </w:rPr>
        <w:t>,</w:t>
      </w:r>
      <w:r w:rsidRPr="00113C90">
        <w:rPr>
          <w:rFonts w:ascii="Arial" w:eastAsia="Times New Roman" w:hAnsi="Arial" w:cs="Arial"/>
          <w:sz w:val="24"/>
          <w:szCs w:val="24"/>
        </w:rPr>
        <w:t xml:space="preserve"> the European Commission has published, since 2010, an Annual Report on the application of the </w:t>
      </w:r>
      <w:r w:rsidR="00160C04">
        <w:rPr>
          <w:rFonts w:ascii="Arial" w:eastAsia="Times New Roman" w:hAnsi="Arial" w:cs="Arial"/>
          <w:sz w:val="24"/>
          <w:szCs w:val="24"/>
        </w:rPr>
        <w:t>Charter</w:t>
      </w:r>
      <w:r w:rsidRPr="00113C90">
        <w:rPr>
          <w:rFonts w:ascii="Arial" w:eastAsia="Times New Roman" w:hAnsi="Arial" w:cs="Arial"/>
          <w:sz w:val="24"/>
          <w:szCs w:val="24"/>
        </w:rPr>
        <w:t>.</w:t>
      </w:r>
      <w:r w:rsidRPr="00113C90">
        <w:rPr>
          <w:rStyle w:val="FootnoteReference"/>
          <w:rFonts w:ascii="Arial" w:eastAsia="Times New Roman" w:hAnsi="Arial" w:cs="Arial"/>
          <w:sz w:val="24"/>
          <w:szCs w:val="24"/>
        </w:rPr>
        <w:footnoteReference w:id="10"/>
      </w:r>
      <w:r w:rsidRPr="00113C90">
        <w:rPr>
          <w:rFonts w:ascii="Arial" w:eastAsia="Times New Roman" w:hAnsi="Arial" w:cs="Arial"/>
          <w:sz w:val="24"/>
          <w:szCs w:val="24"/>
        </w:rPr>
        <w:t xml:space="preserve">  This provides examples of how the </w:t>
      </w:r>
      <w:r w:rsidR="00160C04">
        <w:rPr>
          <w:rFonts w:ascii="Arial" w:hAnsi="Arial" w:cs="Arial"/>
          <w:sz w:val="24"/>
          <w:szCs w:val="24"/>
        </w:rPr>
        <w:t>Charter</w:t>
      </w:r>
      <w:r w:rsidR="00160C04">
        <w:rPr>
          <w:rFonts w:ascii="Arial" w:eastAsia="Times New Roman" w:hAnsi="Arial" w:cs="Arial"/>
          <w:sz w:val="24"/>
          <w:szCs w:val="24"/>
        </w:rPr>
        <w:t xml:space="preserve"> </w:t>
      </w:r>
      <w:r w:rsidRPr="00113C90">
        <w:rPr>
          <w:rFonts w:ascii="Arial" w:eastAsia="Times New Roman" w:hAnsi="Arial" w:cs="Arial"/>
          <w:sz w:val="24"/>
          <w:szCs w:val="24"/>
        </w:rPr>
        <w:t>was applied in and by Member States when implementing Union law</w:t>
      </w:r>
      <w:r w:rsidR="00255E69">
        <w:rPr>
          <w:rFonts w:ascii="Arial" w:eastAsia="Times New Roman" w:hAnsi="Arial" w:cs="Arial"/>
          <w:sz w:val="24"/>
          <w:szCs w:val="24"/>
        </w:rPr>
        <w:t>,</w:t>
      </w:r>
      <w:r w:rsidRPr="00113C90">
        <w:rPr>
          <w:rFonts w:ascii="Arial" w:eastAsia="Times New Roman" w:hAnsi="Arial" w:cs="Arial"/>
          <w:sz w:val="24"/>
          <w:szCs w:val="24"/>
        </w:rPr>
        <w:t xml:space="preserve"> and presents main case law </w:t>
      </w:r>
      <w:r w:rsidRPr="00124C7D">
        <w:rPr>
          <w:rFonts w:ascii="Arial" w:eastAsia="Times New Roman" w:hAnsi="Arial" w:cs="Arial"/>
          <w:sz w:val="24"/>
          <w:szCs w:val="24"/>
        </w:rPr>
        <w:t>developments.</w:t>
      </w:r>
      <w:r w:rsidR="007A3AE1">
        <w:rPr>
          <w:rFonts w:ascii="Arial" w:eastAsia="Times New Roman" w:hAnsi="Arial" w:cs="Arial"/>
          <w:sz w:val="24"/>
          <w:szCs w:val="24"/>
        </w:rPr>
        <w:t xml:space="preserve"> </w:t>
      </w:r>
      <w:r w:rsidR="00124C7D" w:rsidRPr="00124C7D">
        <w:rPr>
          <w:rFonts w:ascii="Arial" w:hAnsi="Arial" w:cs="Arial"/>
          <w:sz w:val="24"/>
          <w:szCs w:val="24"/>
        </w:rPr>
        <w:t>There ha</w:t>
      </w:r>
      <w:r w:rsidR="0043253E">
        <w:rPr>
          <w:rFonts w:ascii="Arial" w:hAnsi="Arial" w:cs="Arial"/>
          <w:sz w:val="24"/>
          <w:szCs w:val="24"/>
        </w:rPr>
        <w:t xml:space="preserve">s </w:t>
      </w:r>
      <w:r w:rsidR="00124C7D" w:rsidRPr="00124C7D">
        <w:rPr>
          <w:rFonts w:ascii="Arial" w:hAnsi="Arial" w:cs="Arial"/>
          <w:sz w:val="24"/>
          <w:szCs w:val="24"/>
        </w:rPr>
        <w:t>been a</w:t>
      </w:r>
      <w:r w:rsidR="00255E69">
        <w:rPr>
          <w:rFonts w:ascii="Arial" w:hAnsi="Arial" w:cs="Arial"/>
          <w:sz w:val="24"/>
          <w:szCs w:val="24"/>
        </w:rPr>
        <w:t xml:space="preserve"> growing </w:t>
      </w:r>
      <w:r w:rsidR="00124C7D" w:rsidRPr="00124C7D">
        <w:rPr>
          <w:rFonts w:ascii="Arial" w:hAnsi="Arial" w:cs="Arial"/>
          <w:sz w:val="24"/>
          <w:szCs w:val="24"/>
        </w:rPr>
        <w:t>number of references for</w:t>
      </w:r>
      <w:r w:rsidR="0043253E">
        <w:rPr>
          <w:rFonts w:ascii="Arial" w:hAnsi="Arial" w:cs="Arial"/>
          <w:sz w:val="24"/>
          <w:szCs w:val="24"/>
        </w:rPr>
        <w:t xml:space="preserve"> a</w:t>
      </w:r>
      <w:r w:rsidR="00124C7D" w:rsidRPr="00124C7D">
        <w:rPr>
          <w:rFonts w:ascii="Arial" w:hAnsi="Arial" w:cs="Arial"/>
          <w:sz w:val="24"/>
          <w:szCs w:val="24"/>
        </w:rPr>
        <w:t xml:space="preserve"> preliminary ruling to the CJEU in</w:t>
      </w:r>
      <w:r w:rsidR="00255E69">
        <w:rPr>
          <w:rFonts w:ascii="Arial" w:hAnsi="Arial" w:cs="Arial"/>
          <w:sz w:val="24"/>
          <w:szCs w:val="24"/>
        </w:rPr>
        <w:t xml:space="preserve">volving </w:t>
      </w:r>
      <w:r w:rsidR="00124C7D" w:rsidRPr="00124C7D">
        <w:rPr>
          <w:rFonts w:ascii="Arial" w:hAnsi="Arial" w:cs="Arial"/>
          <w:sz w:val="24"/>
          <w:szCs w:val="24"/>
        </w:rPr>
        <w:t xml:space="preserve">Charter </w:t>
      </w:r>
      <w:r w:rsidR="00255E69">
        <w:rPr>
          <w:rFonts w:ascii="Arial" w:hAnsi="Arial" w:cs="Arial"/>
          <w:sz w:val="24"/>
          <w:szCs w:val="24"/>
        </w:rPr>
        <w:t>Articles</w:t>
      </w:r>
      <w:r w:rsidR="00124C7D" w:rsidRPr="00124C7D">
        <w:rPr>
          <w:rFonts w:ascii="Arial" w:hAnsi="Arial" w:cs="Arial"/>
          <w:sz w:val="24"/>
          <w:szCs w:val="24"/>
        </w:rPr>
        <w:t>.</w:t>
      </w:r>
      <w:r w:rsidR="00124C7D" w:rsidRPr="00124C7D">
        <w:rPr>
          <w:rStyle w:val="FootnoteReference"/>
          <w:rFonts w:ascii="Arial" w:hAnsi="Arial" w:cs="Arial"/>
          <w:sz w:val="24"/>
          <w:szCs w:val="24"/>
        </w:rPr>
        <w:footnoteReference w:id="11"/>
      </w:r>
      <w:r w:rsidR="00124C7D" w:rsidRPr="00124C7D">
        <w:rPr>
          <w:rFonts w:ascii="Arial" w:hAnsi="Arial" w:cs="Arial"/>
          <w:sz w:val="24"/>
          <w:szCs w:val="24"/>
        </w:rPr>
        <w:t xml:space="preserve"> This growing trend in the relevance of the Charter within </w:t>
      </w:r>
      <w:r w:rsidR="0043253E">
        <w:rPr>
          <w:rFonts w:ascii="Arial" w:hAnsi="Arial" w:cs="Arial"/>
          <w:sz w:val="24"/>
          <w:szCs w:val="24"/>
        </w:rPr>
        <w:t xml:space="preserve">national and EU </w:t>
      </w:r>
      <w:r w:rsidR="00124C7D" w:rsidRPr="00124C7D">
        <w:rPr>
          <w:rFonts w:ascii="Arial" w:hAnsi="Arial" w:cs="Arial"/>
          <w:sz w:val="24"/>
          <w:szCs w:val="24"/>
        </w:rPr>
        <w:t>law is set to continue.</w:t>
      </w:r>
      <w:r w:rsidR="00B7258E" w:rsidRPr="00113C90">
        <w:rPr>
          <w:rFonts w:ascii="Arial" w:hAnsi="Arial" w:cs="Arial"/>
          <w:b/>
          <w:sz w:val="24"/>
          <w:szCs w:val="24"/>
        </w:rPr>
        <w:br w:type="page"/>
      </w:r>
    </w:p>
    <w:p w14:paraId="3ACF8B89" w14:textId="596AD986" w:rsidR="00B7258E" w:rsidRPr="00D509CB" w:rsidRDefault="00D509CB" w:rsidP="00113C90">
      <w:pPr>
        <w:spacing w:after="0" w:line="240" w:lineRule="auto"/>
        <w:rPr>
          <w:rFonts w:ascii="Arial" w:hAnsi="Arial" w:cs="Arial"/>
          <w:b/>
          <w:sz w:val="28"/>
          <w:szCs w:val="28"/>
        </w:rPr>
      </w:pPr>
      <w:r w:rsidRPr="00D509CB">
        <w:rPr>
          <w:rFonts w:ascii="Arial" w:hAnsi="Arial" w:cs="Arial"/>
          <w:b/>
          <w:sz w:val="28"/>
          <w:szCs w:val="28"/>
        </w:rPr>
        <w:lastRenderedPageBreak/>
        <w:t xml:space="preserve">2. </w:t>
      </w:r>
      <w:r w:rsidR="0055759E">
        <w:rPr>
          <w:rFonts w:ascii="Arial" w:hAnsi="Arial" w:cs="Arial"/>
          <w:b/>
          <w:sz w:val="28"/>
          <w:szCs w:val="28"/>
        </w:rPr>
        <w:t>Context –aw</w:t>
      </w:r>
      <w:r w:rsidR="00B7258E" w:rsidRPr="00D509CB">
        <w:rPr>
          <w:rFonts w:ascii="Arial" w:hAnsi="Arial" w:cs="Arial"/>
          <w:b/>
          <w:sz w:val="28"/>
          <w:szCs w:val="28"/>
        </w:rPr>
        <w:t xml:space="preserve">areness of the </w:t>
      </w:r>
      <w:r w:rsidR="00160C04" w:rsidRPr="00D509CB">
        <w:rPr>
          <w:rFonts w:ascii="Arial" w:hAnsi="Arial" w:cs="Arial"/>
          <w:b/>
          <w:sz w:val="28"/>
          <w:szCs w:val="28"/>
        </w:rPr>
        <w:t>Charter</w:t>
      </w:r>
    </w:p>
    <w:p w14:paraId="35ED8A84" w14:textId="77777777" w:rsidR="00113C90" w:rsidRPr="00113C90" w:rsidRDefault="00113C90" w:rsidP="00113C90">
      <w:pPr>
        <w:spacing w:after="0" w:line="240" w:lineRule="auto"/>
        <w:rPr>
          <w:rFonts w:ascii="Arial" w:hAnsi="Arial" w:cs="Arial"/>
          <w:b/>
          <w:sz w:val="24"/>
          <w:szCs w:val="24"/>
        </w:rPr>
      </w:pPr>
    </w:p>
    <w:p w14:paraId="5C412ACA" w14:textId="1937FD17" w:rsidR="00EA4154" w:rsidRDefault="00AE5026" w:rsidP="00113C90">
      <w:pPr>
        <w:spacing w:after="0" w:line="240" w:lineRule="auto"/>
        <w:rPr>
          <w:rFonts w:ascii="Arial" w:hAnsi="Arial" w:cs="Arial"/>
          <w:sz w:val="24"/>
          <w:szCs w:val="24"/>
        </w:rPr>
      </w:pPr>
      <w:r w:rsidRPr="00113C90">
        <w:rPr>
          <w:rFonts w:ascii="Arial" w:hAnsi="Arial" w:cs="Arial"/>
          <w:sz w:val="24"/>
          <w:szCs w:val="24"/>
        </w:rPr>
        <w:t xml:space="preserve">The </w:t>
      </w:r>
      <w:r w:rsidR="00160C04">
        <w:rPr>
          <w:rFonts w:ascii="Arial" w:hAnsi="Arial" w:cs="Arial"/>
          <w:sz w:val="24"/>
          <w:szCs w:val="24"/>
        </w:rPr>
        <w:t>Charter</w:t>
      </w:r>
      <w:r w:rsidR="00160C04" w:rsidRPr="00113C90">
        <w:rPr>
          <w:rFonts w:ascii="Arial" w:hAnsi="Arial" w:cs="Arial"/>
          <w:sz w:val="24"/>
          <w:szCs w:val="24"/>
        </w:rPr>
        <w:t xml:space="preserve"> </w:t>
      </w:r>
      <w:r w:rsidRPr="00113C90">
        <w:rPr>
          <w:rFonts w:ascii="Arial" w:hAnsi="Arial" w:cs="Arial"/>
          <w:sz w:val="24"/>
          <w:szCs w:val="24"/>
        </w:rPr>
        <w:t xml:space="preserve">became part of binding EU law in 2009, yet familiarity with its provisions or impact remains relatively </w:t>
      </w:r>
      <w:r w:rsidR="00325178">
        <w:rPr>
          <w:rFonts w:ascii="Arial" w:hAnsi="Arial" w:cs="Arial"/>
          <w:sz w:val="24"/>
          <w:szCs w:val="24"/>
        </w:rPr>
        <w:t>weak</w:t>
      </w:r>
      <w:r w:rsidRPr="00113C90">
        <w:rPr>
          <w:rFonts w:ascii="Arial" w:hAnsi="Arial" w:cs="Arial"/>
          <w:sz w:val="24"/>
          <w:szCs w:val="24"/>
        </w:rPr>
        <w:t>.</w:t>
      </w:r>
      <w:r w:rsidR="0062682D" w:rsidRPr="00113C90">
        <w:rPr>
          <w:rFonts w:ascii="Arial" w:hAnsi="Arial" w:cs="Arial"/>
          <w:sz w:val="24"/>
          <w:szCs w:val="24"/>
        </w:rPr>
        <w:t xml:space="preserve"> The European Commission</w:t>
      </w:r>
      <w:r w:rsidR="0043253E">
        <w:rPr>
          <w:rFonts w:ascii="Arial" w:hAnsi="Arial" w:cs="Arial"/>
          <w:sz w:val="24"/>
          <w:szCs w:val="24"/>
        </w:rPr>
        <w:t xml:space="preserve">, </w:t>
      </w:r>
      <w:r w:rsidR="0062682D" w:rsidRPr="00113C90">
        <w:rPr>
          <w:rFonts w:ascii="Arial" w:hAnsi="Arial" w:cs="Arial"/>
          <w:sz w:val="24"/>
          <w:szCs w:val="24"/>
        </w:rPr>
        <w:t xml:space="preserve">in </w:t>
      </w:r>
      <w:r w:rsidR="00EA4154" w:rsidRPr="00113C90">
        <w:rPr>
          <w:rFonts w:ascii="Arial" w:hAnsi="Arial" w:cs="Arial"/>
          <w:sz w:val="24"/>
          <w:szCs w:val="24"/>
        </w:rPr>
        <w:t xml:space="preserve">Spring </w:t>
      </w:r>
      <w:r w:rsidR="0062682D" w:rsidRPr="00113C90">
        <w:rPr>
          <w:rFonts w:ascii="Arial" w:hAnsi="Arial" w:cs="Arial"/>
          <w:sz w:val="24"/>
          <w:szCs w:val="24"/>
        </w:rPr>
        <w:t>2015</w:t>
      </w:r>
      <w:r w:rsidR="0043253E">
        <w:rPr>
          <w:rFonts w:ascii="Arial" w:hAnsi="Arial" w:cs="Arial"/>
          <w:sz w:val="24"/>
          <w:szCs w:val="24"/>
        </w:rPr>
        <w:t xml:space="preserve">, conducted </w:t>
      </w:r>
      <w:r w:rsidR="0062682D" w:rsidRPr="00113C90">
        <w:rPr>
          <w:rFonts w:ascii="Arial" w:hAnsi="Arial" w:cs="Arial"/>
          <w:sz w:val="24"/>
          <w:szCs w:val="24"/>
        </w:rPr>
        <w:t>an EU-wide survey of 26,500 citizens</w:t>
      </w:r>
      <w:r w:rsidR="00255E69">
        <w:rPr>
          <w:rFonts w:ascii="Arial" w:hAnsi="Arial" w:cs="Arial"/>
          <w:sz w:val="24"/>
          <w:szCs w:val="24"/>
        </w:rPr>
        <w:t>,</w:t>
      </w:r>
      <w:r w:rsidR="0062682D" w:rsidRPr="00113C90">
        <w:rPr>
          <w:rFonts w:ascii="Arial" w:hAnsi="Arial" w:cs="Arial"/>
          <w:sz w:val="24"/>
          <w:szCs w:val="24"/>
        </w:rPr>
        <w:t xml:space="preserve"> </w:t>
      </w:r>
      <w:r w:rsidR="0043253E">
        <w:rPr>
          <w:rFonts w:ascii="Arial" w:hAnsi="Arial" w:cs="Arial"/>
          <w:sz w:val="24"/>
          <w:szCs w:val="24"/>
        </w:rPr>
        <w:t xml:space="preserve">which </w:t>
      </w:r>
      <w:r w:rsidR="0062682D" w:rsidRPr="00113C90">
        <w:rPr>
          <w:rFonts w:ascii="Arial" w:hAnsi="Arial" w:cs="Arial"/>
          <w:sz w:val="24"/>
          <w:szCs w:val="24"/>
        </w:rPr>
        <w:t xml:space="preserve">revealed that while general awareness of the </w:t>
      </w:r>
      <w:r w:rsidR="00160C04">
        <w:rPr>
          <w:rFonts w:ascii="Arial" w:hAnsi="Arial" w:cs="Arial"/>
          <w:sz w:val="24"/>
          <w:szCs w:val="24"/>
        </w:rPr>
        <w:t>Charter</w:t>
      </w:r>
      <w:r w:rsidR="00160C04" w:rsidRPr="00113C90">
        <w:rPr>
          <w:rFonts w:ascii="Arial" w:hAnsi="Arial" w:cs="Arial"/>
          <w:sz w:val="24"/>
          <w:szCs w:val="24"/>
        </w:rPr>
        <w:t xml:space="preserve"> </w:t>
      </w:r>
      <w:r w:rsidR="0062682D" w:rsidRPr="00113C90">
        <w:rPr>
          <w:rFonts w:ascii="Arial" w:hAnsi="Arial" w:cs="Arial"/>
          <w:sz w:val="24"/>
          <w:szCs w:val="24"/>
        </w:rPr>
        <w:t>remained rather high, actual knowledge of it remained low.</w:t>
      </w:r>
      <w:r w:rsidR="0062682D" w:rsidRPr="00113C90">
        <w:rPr>
          <w:rStyle w:val="FootnoteReference"/>
          <w:rFonts w:ascii="Arial" w:hAnsi="Arial" w:cs="Arial"/>
          <w:sz w:val="24"/>
          <w:szCs w:val="24"/>
        </w:rPr>
        <w:footnoteReference w:id="12"/>
      </w:r>
      <w:r w:rsidR="00EA4154" w:rsidRPr="00113C90">
        <w:rPr>
          <w:rFonts w:ascii="Arial" w:hAnsi="Arial" w:cs="Arial"/>
          <w:sz w:val="24"/>
          <w:szCs w:val="24"/>
        </w:rPr>
        <w:t xml:space="preserve"> Over a</w:t>
      </w:r>
      <w:r w:rsidR="00160C04">
        <w:rPr>
          <w:rFonts w:ascii="Arial" w:hAnsi="Arial" w:cs="Arial"/>
          <w:sz w:val="24"/>
          <w:szCs w:val="24"/>
        </w:rPr>
        <w:t xml:space="preserve"> </w:t>
      </w:r>
      <w:r w:rsidR="00EA4154" w:rsidRPr="00113C90">
        <w:rPr>
          <w:rFonts w:ascii="Arial" w:hAnsi="Arial" w:cs="Arial"/>
          <w:sz w:val="24"/>
          <w:szCs w:val="24"/>
        </w:rPr>
        <w:t>thi</w:t>
      </w:r>
      <w:r w:rsidR="00160C04">
        <w:rPr>
          <w:rFonts w:ascii="Arial" w:hAnsi="Arial" w:cs="Arial"/>
          <w:sz w:val="24"/>
          <w:szCs w:val="24"/>
        </w:rPr>
        <w:t>r</w:t>
      </w:r>
      <w:r w:rsidR="00EA4154" w:rsidRPr="00113C90">
        <w:rPr>
          <w:rFonts w:ascii="Arial" w:hAnsi="Arial" w:cs="Arial"/>
          <w:sz w:val="24"/>
          <w:szCs w:val="24"/>
        </w:rPr>
        <w:t>d of respondents had never heard of the</w:t>
      </w:r>
      <w:r w:rsidR="00160C04">
        <w:rPr>
          <w:rFonts w:ascii="Arial" w:hAnsi="Arial" w:cs="Arial"/>
          <w:sz w:val="24"/>
          <w:szCs w:val="24"/>
        </w:rPr>
        <w:t xml:space="preserve"> Charter.</w:t>
      </w:r>
      <w:r w:rsidR="00160C04" w:rsidRPr="00113C90">
        <w:rPr>
          <w:rFonts w:ascii="Arial" w:hAnsi="Arial" w:cs="Arial"/>
          <w:sz w:val="24"/>
          <w:szCs w:val="24"/>
        </w:rPr>
        <w:t xml:space="preserve"> </w:t>
      </w:r>
      <w:r w:rsidR="00EA4154" w:rsidRPr="00113C90">
        <w:rPr>
          <w:rFonts w:ascii="Arial" w:hAnsi="Arial" w:cs="Arial"/>
          <w:sz w:val="24"/>
          <w:szCs w:val="24"/>
        </w:rPr>
        <w:t xml:space="preserve">This survey also found that precise knowledge of when the </w:t>
      </w:r>
      <w:r w:rsidR="00160C04">
        <w:rPr>
          <w:rFonts w:ascii="Arial" w:hAnsi="Arial" w:cs="Arial"/>
          <w:sz w:val="24"/>
          <w:szCs w:val="24"/>
        </w:rPr>
        <w:t>Charter</w:t>
      </w:r>
      <w:r w:rsidR="00160C04" w:rsidRPr="00113C90">
        <w:rPr>
          <w:rFonts w:ascii="Arial" w:hAnsi="Arial" w:cs="Arial"/>
          <w:sz w:val="24"/>
          <w:szCs w:val="24"/>
        </w:rPr>
        <w:t xml:space="preserve"> </w:t>
      </w:r>
      <w:r w:rsidR="00EA4154" w:rsidRPr="00113C90">
        <w:rPr>
          <w:rFonts w:ascii="Arial" w:hAnsi="Arial" w:cs="Arial"/>
          <w:sz w:val="24"/>
          <w:szCs w:val="24"/>
        </w:rPr>
        <w:t xml:space="preserve">does and does not apply is still low. </w:t>
      </w:r>
      <w:r w:rsidR="00277CA9" w:rsidRPr="00113C90">
        <w:rPr>
          <w:rFonts w:ascii="Arial" w:hAnsi="Arial" w:cs="Arial"/>
          <w:sz w:val="24"/>
          <w:szCs w:val="24"/>
        </w:rPr>
        <w:t xml:space="preserve">Ireland ranks poorly among the </w:t>
      </w:r>
      <w:r w:rsidR="0043253E">
        <w:rPr>
          <w:rFonts w:ascii="Arial" w:hAnsi="Arial" w:cs="Arial"/>
          <w:sz w:val="24"/>
          <w:szCs w:val="24"/>
        </w:rPr>
        <w:t xml:space="preserve">Member </w:t>
      </w:r>
      <w:r w:rsidR="00277CA9" w:rsidRPr="00113C90">
        <w:rPr>
          <w:rFonts w:ascii="Arial" w:hAnsi="Arial" w:cs="Arial"/>
          <w:sz w:val="24"/>
          <w:szCs w:val="24"/>
        </w:rPr>
        <w:t xml:space="preserve">States in relation to responses on the question of familiarity with the </w:t>
      </w:r>
      <w:r w:rsidR="00160C04">
        <w:rPr>
          <w:rFonts w:ascii="Arial" w:hAnsi="Arial" w:cs="Arial"/>
          <w:sz w:val="24"/>
          <w:szCs w:val="24"/>
        </w:rPr>
        <w:t>Charter</w:t>
      </w:r>
      <w:r w:rsidR="0043253E">
        <w:rPr>
          <w:rFonts w:ascii="Arial" w:hAnsi="Arial" w:cs="Arial"/>
          <w:sz w:val="24"/>
          <w:szCs w:val="24"/>
        </w:rPr>
        <w:t xml:space="preserve">. The following chart shows the results of that survey and </w:t>
      </w:r>
      <w:r w:rsidR="00277CA9" w:rsidRPr="00113C90">
        <w:rPr>
          <w:rFonts w:ascii="Arial" w:hAnsi="Arial" w:cs="Arial"/>
          <w:sz w:val="24"/>
          <w:szCs w:val="24"/>
        </w:rPr>
        <w:t>Eurobarometer Report</w:t>
      </w:r>
      <w:r w:rsidR="00325178">
        <w:rPr>
          <w:rFonts w:ascii="Arial" w:hAnsi="Arial" w:cs="Arial"/>
          <w:sz w:val="24"/>
          <w:szCs w:val="24"/>
        </w:rPr>
        <w:t>. It</w:t>
      </w:r>
      <w:r w:rsidR="0043253E">
        <w:rPr>
          <w:rFonts w:ascii="Arial" w:hAnsi="Arial" w:cs="Arial"/>
          <w:sz w:val="24"/>
          <w:szCs w:val="24"/>
        </w:rPr>
        <w:t xml:space="preserve"> shows familiarity with the Charter in Ireland at 8%, although up from 5% in 2012.</w:t>
      </w:r>
      <w:r w:rsidR="00277CA9" w:rsidRPr="00113C90">
        <w:rPr>
          <w:rFonts w:ascii="Arial" w:hAnsi="Arial" w:cs="Arial"/>
          <w:sz w:val="24"/>
          <w:szCs w:val="24"/>
        </w:rPr>
        <w:t xml:space="preserve"> </w:t>
      </w:r>
      <w:r w:rsidR="00255E69">
        <w:rPr>
          <w:rFonts w:ascii="Arial" w:hAnsi="Arial" w:cs="Arial"/>
          <w:sz w:val="24"/>
          <w:szCs w:val="24"/>
        </w:rPr>
        <w:t>The EU28 average was 14% in 2015 (up from 11%).</w:t>
      </w:r>
    </w:p>
    <w:p w14:paraId="0204D3EE" w14:textId="1D4309DB" w:rsidR="00277CA9" w:rsidRPr="00113C90" w:rsidRDefault="00277CA9" w:rsidP="00113C90">
      <w:pPr>
        <w:spacing w:after="0" w:line="240" w:lineRule="auto"/>
        <w:rPr>
          <w:rFonts w:ascii="Arial" w:hAnsi="Arial" w:cs="Arial"/>
          <w:sz w:val="24"/>
          <w:szCs w:val="24"/>
        </w:rPr>
      </w:pPr>
    </w:p>
    <w:p w14:paraId="72C1A000" w14:textId="46A4F2B8" w:rsidR="00160C04" w:rsidRPr="001F64EF" w:rsidRDefault="001F64EF" w:rsidP="00113C90">
      <w:pPr>
        <w:spacing w:after="0" w:line="240" w:lineRule="auto"/>
        <w:rPr>
          <w:rFonts w:ascii="Arial" w:hAnsi="Arial" w:cs="Arial"/>
          <w:b/>
          <w:sz w:val="24"/>
          <w:szCs w:val="24"/>
        </w:rPr>
      </w:pPr>
      <w:r w:rsidRPr="001F64EF">
        <w:rPr>
          <w:rFonts w:ascii="Arial" w:hAnsi="Arial" w:cs="Arial"/>
          <w:b/>
          <w:sz w:val="24"/>
          <w:szCs w:val="24"/>
        </w:rPr>
        <w:t>European Commission survey (2015) on Charter</w:t>
      </w:r>
    </w:p>
    <w:p w14:paraId="6FA2AE86" w14:textId="77777777" w:rsidR="001F64EF" w:rsidRDefault="001F64EF" w:rsidP="00113C90">
      <w:pPr>
        <w:spacing w:after="0" w:line="240" w:lineRule="auto"/>
        <w:rPr>
          <w:rFonts w:ascii="Arial" w:hAnsi="Arial" w:cs="Arial"/>
          <w:sz w:val="24"/>
          <w:szCs w:val="24"/>
        </w:rPr>
      </w:pPr>
    </w:p>
    <w:p w14:paraId="09240C0D" w14:textId="2FDDD74C" w:rsidR="00160C04" w:rsidRDefault="00160C04" w:rsidP="00113C90">
      <w:pPr>
        <w:spacing w:after="0" w:line="240" w:lineRule="auto"/>
        <w:rPr>
          <w:rFonts w:ascii="Arial" w:hAnsi="Arial" w:cs="Arial"/>
          <w:sz w:val="24"/>
          <w:szCs w:val="24"/>
        </w:rPr>
      </w:pPr>
      <w:r w:rsidRPr="00113C90">
        <w:rPr>
          <w:rFonts w:ascii="Arial" w:hAnsi="Arial" w:cs="Arial"/>
          <w:noProof/>
          <w:sz w:val="24"/>
          <w:szCs w:val="24"/>
          <w:lang w:val="en-US"/>
        </w:rPr>
        <mc:AlternateContent>
          <mc:Choice Requires="wps">
            <w:drawing>
              <wp:anchor distT="0" distB="0" distL="114300" distR="114300" simplePos="0" relativeHeight="251660288" behindDoc="0" locked="0" layoutInCell="1" allowOverlap="1" wp14:anchorId="6543DAC4" wp14:editId="6C99560C">
                <wp:simplePos x="0" y="0"/>
                <wp:positionH relativeFrom="column">
                  <wp:posOffset>-228600</wp:posOffset>
                </wp:positionH>
                <wp:positionV relativeFrom="paragraph">
                  <wp:posOffset>7620</wp:posOffset>
                </wp:positionV>
                <wp:extent cx="6057900" cy="3503295"/>
                <wp:effectExtent l="0" t="0" r="38100" b="27305"/>
                <wp:wrapSquare wrapText="bothSides"/>
                <wp:docPr id="6" name="Text Box 6"/>
                <wp:cNvGraphicFramePr/>
                <a:graphic xmlns:a="http://schemas.openxmlformats.org/drawingml/2006/main">
                  <a:graphicData uri="http://schemas.microsoft.com/office/word/2010/wordprocessingShape">
                    <wps:wsp>
                      <wps:cNvSpPr txBox="1"/>
                      <wps:spPr>
                        <a:xfrm>
                          <a:off x="0" y="0"/>
                          <a:ext cx="6057900" cy="3503295"/>
                        </a:xfrm>
                        <a:prstGeom prst="rect">
                          <a:avLst/>
                        </a:prstGeom>
                        <a:noFill/>
                        <a:ln w="9525">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65869D" w14:textId="395C25A3" w:rsidR="00E71EB2" w:rsidRDefault="00E71EB2" w:rsidP="00277CA9">
                            <w:pPr>
                              <w:pBdr>
                                <w:top w:val="single" w:sz="4" w:space="1" w:color="auto"/>
                                <w:left w:val="single" w:sz="4" w:space="4" w:color="auto"/>
                                <w:bottom w:val="single" w:sz="4" w:space="1" w:color="auto"/>
                                <w:right w:val="single" w:sz="4" w:space="4" w:color="auto"/>
                                <w:between w:val="single" w:sz="4" w:space="1" w:color="auto"/>
                                <w:bar w:val="single" w:sz="4" w:color="auto"/>
                              </w:pBdr>
                            </w:pPr>
                            <w:r>
                              <w:rPr>
                                <w:rFonts w:ascii="Arial" w:hAnsi="Arial" w:cs="Arial"/>
                                <w:noProof/>
                                <w:lang w:val="en-US"/>
                              </w:rPr>
                              <w:drawing>
                                <wp:inline distT="0" distB="0" distL="0" distR="0" wp14:anchorId="1F1CA1CD" wp14:editId="05FC2684">
                                  <wp:extent cx="5962650" cy="3403600"/>
                                  <wp:effectExtent l="0" t="0" r="6350" b="0"/>
                                  <wp:docPr id="16" name="Picture 16" descr="Macintosh HD:Users:padraickenna:Dropbox:Screenshots:Screenshot 2016-09-01 14.2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draickenna:Dropbox:Screenshots:Screenshot 2016-09-01 14.21.1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4468" cy="34046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6" o:spid="_x0000_s1026" type="#_x0000_t202" style="position:absolute;margin-left:-17.95pt;margin-top:.6pt;width:477pt;height:27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" filled="f" strokecolor="black [3213]">
                <v:textbox>
                  <w:txbxContent>
                    <w:p w14:paraId="1B65869D" w14:textId="395C25A3" w:rsidR="00E71EB2" w:rsidRDefault="00E71EB2" w:rsidP="00277CA9">
                      <w:pPr>
                        <w:pBdr>
                          <w:top w:val="single" w:sz="4" w:space="1" w:color="auto"/>
                          <w:left w:val="single" w:sz="4" w:space="4" w:color="auto"/>
                          <w:bottom w:val="single" w:sz="4" w:space="1" w:color="auto"/>
                          <w:right w:val="single" w:sz="4" w:space="4" w:color="auto"/>
                          <w:between w:val="single" w:sz="4" w:space="1" w:color="auto"/>
                          <w:bar w:val="single" w:sz="4" w:color="auto"/>
                        </w:pBdr>
                      </w:pPr>
                      <w:r>
                        <w:rPr>
                          <w:rFonts w:ascii="Arial" w:hAnsi="Arial" w:cs="Arial"/>
                          <w:noProof/>
                          <w:lang w:val="en-US"/>
                        </w:rPr>
                        <w:drawing>
                          <wp:inline distT="0" distB="0" distL="0" distR="0" wp14:anchorId="1F1CA1CD" wp14:editId="05FC2684">
                            <wp:extent cx="5962650" cy="3403600"/>
                            <wp:effectExtent l="0" t="0" r="6350" b="0"/>
                            <wp:docPr id="16" name="Picture 16" descr="Macintosh HD:Users:padraickenna:Dropbox:Screenshots:Screenshot 2016-09-01 14.2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draickenna:Dropbox:Screenshots:Screenshot 2016-09-01 14.21.1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4468" cy="3404638"/>
                                    </a:xfrm>
                                    <a:prstGeom prst="rect">
                                      <a:avLst/>
                                    </a:prstGeom>
                                    <a:noFill/>
                                    <a:ln>
                                      <a:noFill/>
                                    </a:ln>
                                  </pic:spPr>
                                </pic:pic>
                              </a:graphicData>
                            </a:graphic>
                          </wp:inline>
                        </w:drawing>
                      </w:r>
                    </w:p>
                  </w:txbxContent>
                </v:textbox>
                <w10:wrap type="square"/>
              </v:shape>
            </w:pict>
          </mc:Fallback>
        </mc:AlternateContent>
      </w:r>
    </w:p>
    <w:p w14:paraId="46EEFF80" w14:textId="77777777" w:rsidR="00160C04" w:rsidRDefault="00160C04" w:rsidP="00113C90">
      <w:pPr>
        <w:spacing w:after="0" w:line="240" w:lineRule="auto"/>
        <w:rPr>
          <w:rFonts w:ascii="Arial" w:hAnsi="Arial" w:cs="Arial"/>
          <w:sz w:val="24"/>
          <w:szCs w:val="24"/>
        </w:rPr>
      </w:pPr>
    </w:p>
    <w:p w14:paraId="4DC752D5" w14:textId="2DF20FEB" w:rsidR="00160C04" w:rsidRPr="007709F4" w:rsidRDefault="00B32255" w:rsidP="00113C90">
      <w:pPr>
        <w:spacing w:after="0" w:line="240" w:lineRule="auto"/>
        <w:rPr>
          <w:rFonts w:ascii="Arial" w:hAnsi="Arial" w:cs="Arial"/>
          <w:sz w:val="24"/>
          <w:szCs w:val="24"/>
        </w:rPr>
      </w:pPr>
      <w:r w:rsidRPr="00113C90">
        <w:rPr>
          <w:rFonts w:ascii="Arial" w:hAnsi="Arial" w:cs="Arial"/>
          <w:sz w:val="24"/>
          <w:szCs w:val="24"/>
        </w:rPr>
        <w:t xml:space="preserve">The greatest confusion rests around whether the </w:t>
      </w:r>
      <w:r w:rsidR="00160C04">
        <w:rPr>
          <w:rFonts w:ascii="Arial" w:hAnsi="Arial" w:cs="Arial"/>
          <w:sz w:val="24"/>
          <w:szCs w:val="24"/>
        </w:rPr>
        <w:t>C</w:t>
      </w:r>
      <w:r w:rsidR="007709F4">
        <w:rPr>
          <w:rFonts w:ascii="Arial" w:hAnsi="Arial" w:cs="Arial"/>
          <w:sz w:val="24"/>
          <w:szCs w:val="24"/>
        </w:rPr>
        <w:t>harter</w:t>
      </w:r>
      <w:r w:rsidRPr="00113C90">
        <w:rPr>
          <w:rFonts w:ascii="Arial" w:hAnsi="Arial" w:cs="Arial"/>
          <w:sz w:val="24"/>
          <w:szCs w:val="24"/>
        </w:rPr>
        <w:t xml:space="preserve"> applies to all actions of </w:t>
      </w:r>
      <w:r w:rsidR="00BB53F5" w:rsidRPr="00113C90">
        <w:rPr>
          <w:rFonts w:ascii="Arial" w:hAnsi="Arial" w:cs="Arial"/>
          <w:sz w:val="24"/>
          <w:szCs w:val="24"/>
        </w:rPr>
        <w:t>M</w:t>
      </w:r>
      <w:r w:rsidRPr="00113C90">
        <w:rPr>
          <w:rFonts w:ascii="Arial" w:hAnsi="Arial" w:cs="Arial"/>
          <w:sz w:val="24"/>
          <w:szCs w:val="24"/>
        </w:rPr>
        <w:t xml:space="preserve">ember States, including matters of national competence. </w:t>
      </w:r>
      <w:r w:rsidR="00E81726" w:rsidRPr="00113C90">
        <w:rPr>
          <w:rFonts w:ascii="Arial" w:eastAsia="Times New Roman" w:hAnsi="Arial" w:cs="Arial"/>
          <w:sz w:val="24"/>
          <w:szCs w:val="24"/>
        </w:rPr>
        <w:t xml:space="preserve">In relation to the question “The </w:t>
      </w:r>
      <w:r w:rsidR="00160C04">
        <w:rPr>
          <w:rFonts w:ascii="Arial" w:eastAsia="Times New Roman" w:hAnsi="Arial" w:cs="Arial"/>
          <w:sz w:val="24"/>
          <w:szCs w:val="24"/>
        </w:rPr>
        <w:t>Charter</w:t>
      </w:r>
      <w:r w:rsidR="00E81726" w:rsidRPr="00113C90">
        <w:rPr>
          <w:rFonts w:ascii="Arial" w:eastAsia="Times New Roman" w:hAnsi="Arial" w:cs="Arial"/>
          <w:sz w:val="24"/>
          <w:szCs w:val="24"/>
        </w:rPr>
        <w:t xml:space="preserve"> applies to all actions of EU Member States, including on matters of </w:t>
      </w:r>
    </w:p>
    <w:p w14:paraId="6826D41C" w14:textId="77777777" w:rsidR="00160C04" w:rsidRDefault="00160C04" w:rsidP="00113C90">
      <w:pPr>
        <w:spacing w:after="0" w:line="240" w:lineRule="auto"/>
        <w:rPr>
          <w:rFonts w:ascii="Arial" w:eastAsia="Times New Roman" w:hAnsi="Arial" w:cs="Arial"/>
          <w:sz w:val="24"/>
          <w:szCs w:val="24"/>
        </w:rPr>
      </w:pPr>
      <w:r>
        <w:rPr>
          <w:rFonts w:ascii="Arial" w:eastAsia="Times New Roman" w:hAnsi="Arial" w:cs="Arial"/>
          <w:sz w:val="24"/>
          <w:szCs w:val="24"/>
        </w:rPr>
        <w:t>n</w:t>
      </w:r>
      <w:r w:rsidR="00E81726" w:rsidRPr="00113C90">
        <w:rPr>
          <w:rFonts w:ascii="Arial" w:eastAsia="Times New Roman" w:hAnsi="Arial" w:cs="Arial"/>
          <w:sz w:val="24"/>
          <w:szCs w:val="24"/>
        </w:rPr>
        <w:t>ational competence</w:t>
      </w:r>
      <w:r w:rsidR="00444CCF" w:rsidRPr="00113C90">
        <w:rPr>
          <w:rFonts w:ascii="Arial" w:eastAsia="Times New Roman" w:hAnsi="Arial" w:cs="Arial"/>
          <w:sz w:val="24"/>
          <w:szCs w:val="24"/>
        </w:rPr>
        <w:t>,</w:t>
      </w:r>
      <w:r w:rsidR="00E81726" w:rsidRPr="00113C90">
        <w:rPr>
          <w:rFonts w:ascii="Arial" w:eastAsia="Times New Roman" w:hAnsi="Arial" w:cs="Arial"/>
          <w:sz w:val="24"/>
          <w:szCs w:val="24"/>
        </w:rPr>
        <w:t xml:space="preserve">” Romania (72%) has the highest proportion of respondents who say, wrongly, that the statement is true, followed by Croatia, Ireland and Latvia (all 66%). </w:t>
      </w:r>
    </w:p>
    <w:p w14:paraId="6E2B6229" w14:textId="49ABD793" w:rsidR="001F64EF" w:rsidRDefault="00B32255" w:rsidP="00113C90">
      <w:pPr>
        <w:spacing w:after="0" w:line="240" w:lineRule="auto"/>
        <w:rPr>
          <w:rFonts w:ascii="Arial" w:eastAsia="Times New Roman" w:hAnsi="Arial" w:cs="Arial"/>
          <w:sz w:val="24"/>
          <w:szCs w:val="24"/>
        </w:rPr>
      </w:pPr>
      <w:r w:rsidRPr="00113C90">
        <w:rPr>
          <w:rFonts w:ascii="Arial" w:eastAsia="Times New Roman" w:hAnsi="Arial" w:cs="Arial"/>
          <w:noProof/>
          <w:sz w:val="24"/>
          <w:szCs w:val="24"/>
          <w:lang w:val="en-US"/>
        </w:rPr>
        <w:lastRenderedPageBreak/>
        <mc:AlternateContent>
          <mc:Choice Requires="wps">
            <w:drawing>
              <wp:anchor distT="0" distB="0" distL="114300" distR="114300" simplePos="0" relativeHeight="251661312" behindDoc="0" locked="0" layoutInCell="1" allowOverlap="1" wp14:anchorId="18BFE26D" wp14:editId="44E2BECF">
                <wp:simplePos x="0" y="0"/>
                <wp:positionH relativeFrom="column">
                  <wp:posOffset>0</wp:posOffset>
                </wp:positionH>
                <wp:positionV relativeFrom="paragraph">
                  <wp:posOffset>1028700</wp:posOffset>
                </wp:positionV>
                <wp:extent cx="5943600" cy="54864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943600" cy="5486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AF5DCF" w14:textId="11E6DFFA" w:rsidR="00E71EB2" w:rsidRDefault="00E71EB2" w:rsidP="00A12D99">
                            <w:pPr>
                              <w:pBdr>
                                <w:top w:val="single" w:sz="4" w:space="1" w:color="auto"/>
                                <w:left w:val="single" w:sz="4" w:space="5" w:color="auto"/>
                                <w:bottom w:val="single" w:sz="4" w:space="1" w:color="auto"/>
                                <w:right w:val="single" w:sz="4" w:space="4" w:color="auto"/>
                                <w:between w:val="single" w:sz="4" w:space="1" w:color="auto"/>
                                <w:bar w:val="single" w:sz="4" w:color="auto"/>
                              </w:pBdr>
                            </w:pPr>
                            <w:r>
                              <w:rPr>
                                <w:noProof/>
                                <w:lang w:val="en-US"/>
                              </w:rPr>
                              <w:drawing>
                                <wp:inline distT="0" distB="0" distL="0" distR="0" wp14:anchorId="52C2D585" wp14:editId="087917BD">
                                  <wp:extent cx="5854362" cy="5194300"/>
                                  <wp:effectExtent l="0" t="0" r="0" b="0"/>
                                  <wp:docPr id="13" name="Picture 13" descr="Macintosh HD:Users:padraickenna:Dropbox:Screenshots:Screenshot 2016-09-01 14.3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draickenna:Dropbox:Screenshots:Screenshot 2016-09-01 14.39.0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7042" cy="51966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7" o:spid="_x0000_s1027" type="#_x0000_t202" style="position:absolute;margin-left:0;margin-top:81pt;width:468pt;height:6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" filled="f" stroked="f">
                <v:textbox>
                  <w:txbxContent>
                    <w:p w14:paraId="2CAF5DCF" w14:textId="11E6DFFA" w:rsidR="00E71EB2" w:rsidRDefault="00E71EB2" w:rsidP="00A12D99">
                      <w:pPr>
                        <w:pBdr>
                          <w:top w:val="single" w:sz="4" w:space="1" w:color="auto"/>
                          <w:left w:val="single" w:sz="4" w:space="5" w:color="auto"/>
                          <w:bottom w:val="single" w:sz="4" w:space="1" w:color="auto"/>
                          <w:right w:val="single" w:sz="4" w:space="4" w:color="auto"/>
                          <w:between w:val="single" w:sz="4" w:space="1" w:color="auto"/>
                          <w:bar w:val="single" w:sz="4" w:color="auto"/>
                        </w:pBdr>
                      </w:pPr>
                      <w:r>
                        <w:rPr>
                          <w:noProof/>
                          <w:lang w:val="en-US"/>
                        </w:rPr>
                        <w:drawing>
                          <wp:inline distT="0" distB="0" distL="0" distR="0" wp14:anchorId="52C2D585" wp14:editId="087917BD">
                            <wp:extent cx="5854362" cy="5194300"/>
                            <wp:effectExtent l="0" t="0" r="0" b="0"/>
                            <wp:docPr id="13" name="Picture 13" descr="Macintosh HD:Users:padraickenna:Dropbox:Screenshots:Screenshot 2016-09-01 14.3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draickenna:Dropbox:Screenshots:Screenshot 2016-09-01 14.39.0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7042" cy="5196678"/>
                                    </a:xfrm>
                                    <a:prstGeom prst="rect">
                                      <a:avLst/>
                                    </a:prstGeom>
                                    <a:noFill/>
                                    <a:ln>
                                      <a:noFill/>
                                    </a:ln>
                                  </pic:spPr>
                                </pic:pic>
                              </a:graphicData>
                            </a:graphic>
                          </wp:inline>
                        </w:drawing>
                      </w:r>
                    </w:p>
                  </w:txbxContent>
                </v:textbox>
                <w10:wrap type="square"/>
              </v:shape>
            </w:pict>
          </mc:Fallback>
        </mc:AlternateContent>
      </w:r>
      <w:r w:rsidR="00160C04">
        <w:rPr>
          <w:rFonts w:ascii="Arial" w:eastAsia="Times New Roman" w:hAnsi="Arial" w:cs="Arial"/>
          <w:sz w:val="24"/>
          <w:szCs w:val="24"/>
        </w:rPr>
        <w:t>C</w:t>
      </w:r>
      <w:r w:rsidR="00A12D99" w:rsidRPr="00113C90">
        <w:rPr>
          <w:rFonts w:ascii="Arial" w:eastAsia="Times New Roman" w:hAnsi="Arial" w:cs="Arial"/>
          <w:sz w:val="24"/>
          <w:szCs w:val="24"/>
        </w:rPr>
        <w:t>orrect answers to t</w:t>
      </w:r>
      <w:r w:rsidR="00E81726" w:rsidRPr="00113C90">
        <w:rPr>
          <w:rFonts w:ascii="Arial" w:eastAsia="Times New Roman" w:hAnsi="Arial" w:cs="Arial"/>
          <w:sz w:val="24"/>
          <w:szCs w:val="24"/>
        </w:rPr>
        <w:t xml:space="preserve">he question “The </w:t>
      </w:r>
      <w:r w:rsidR="00160C04">
        <w:rPr>
          <w:rFonts w:ascii="Arial" w:eastAsia="Times New Roman" w:hAnsi="Arial" w:cs="Arial"/>
          <w:sz w:val="24"/>
          <w:szCs w:val="24"/>
        </w:rPr>
        <w:t>Charter</w:t>
      </w:r>
      <w:r w:rsidR="00E81726" w:rsidRPr="00113C90">
        <w:rPr>
          <w:rFonts w:ascii="Arial" w:eastAsia="Times New Roman" w:hAnsi="Arial" w:cs="Arial"/>
          <w:sz w:val="24"/>
          <w:szCs w:val="24"/>
        </w:rPr>
        <w:t xml:space="preserve"> applies to EU Member States only when they implement EU law” </w:t>
      </w:r>
      <w:r w:rsidR="00A12D99" w:rsidRPr="00113C90">
        <w:rPr>
          <w:rFonts w:ascii="Arial" w:eastAsia="Times New Roman" w:hAnsi="Arial" w:cs="Arial"/>
          <w:sz w:val="24"/>
          <w:szCs w:val="24"/>
        </w:rPr>
        <w:t>ranged from 75% in Bulgaria and 72% in Romania, to 51% in Italy and 52% in Malta. Ireland had a 60% correct answer rate, but also a 32% incorrect answer rate.</w:t>
      </w:r>
    </w:p>
    <w:p w14:paraId="607A0502" w14:textId="77777777" w:rsidR="007709F4" w:rsidRDefault="007709F4" w:rsidP="00113C90">
      <w:pPr>
        <w:spacing w:after="0" w:line="240" w:lineRule="auto"/>
        <w:rPr>
          <w:rFonts w:ascii="Arial" w:eastAsia="Times New Roman" w:hAnsi="Arial" w:cs="Arial"/>
          <w:sz w:val="24"/>
          <w:szCs w:val="24"/>
        </w:rPr>
      </w:pPr>
    </w:p>
    <w:p w14:paraId="09A5DC25" w14:textId="77777777" w:rsidR="00255E69" w:rsidRDefault="00255E69" w:rsidP="004725F2">
      <w:pPr>
        <w:spacing w:after="0" w:line="240" w:lineRule="auto"/>
        <w:rPr>
          <w:rFonts w:ascii="Arial" w:eastAsia="Times New Roman" w:hAnsi="Arial" w:cs="Arial"/>
          <w:sz w:val="24"/>
          <w:szCs w:val="24"/>
        </w:rPr>
      </w:pPr>
    </w:p>
    <w:p w14:paraId="0ABBB822" w14:textId="1FCD33F6" w:rsidR="007709F4" w:rsidRDefault="00F56034" w:rsidP="004725F2">
      <w:pPr>
        <w:spacing w:after="0" w:line="240" w:lineRule="auto"/>
        <w:rPr>
          <w:rFonts w:ascii="Arial" w:eastAsia="Times New Roman" w:hAnsi="Arial" w:cs="Arial"/>
          <w:sz w:val="24"/>
          <w:szCs w:val="24"/>
        </w:rPr>
      </w:pPr>
      <w:r w:rsidRPr="00113C90">
        <w:rPr>
          <w:rFonts w:ascii="Arial" w:eastAsia="Times New Roman" w:hAnsi="Arial" w:cs="Arial"/>
          <w:sz w:val="24"/>
          <w:szCs w:val="24"/>
        </w:rPr>
        <w:t xml:space="preserve">In 13 </w:t>
      </w:r>
      <w:r w:rsidR="00325178">
        <w:rPr>
          <w:rFonts w:ascii="Arial" w:eastAsia="Times New Roman" w:hAnsi="Arial" w:cs="Arial"/>
          <w:sz w:val="24"/>
          <w:szCs w:val="24"/>
        </w:rPr>
        <w:t xml:space="preserve">of the 28 </w:t>
      </w:r>
      <w:r w:rsidR="004725F2">
        <w:rPr>
          <w:rFonts w:ascii="Arial" w:eastAsia="Times New Roman" w:hAnsi="Arial" w:cs="Arial"/>
          <w:sz w:val="24"/>
          <w:szCs w:val="24"/>
        </w:rPr>
        <w:t xml:space="preserve">EU Member States </w:t>
      </w:r>
      <w:r w:rsidRPr="00113C90">
        <w:rPr>
          <w:rFonts w:ascii="Arial" w:eastAsia="Times New Roman" w:hAnsi="Arial" w:cs="Arial"/>
          <w:sz w:val="24"/>
          <w:szCs w:val="24"/>
        </w:rPr>
        <w:t>respondents were most lik</w:t>
      </w:r>
      <w:r w:rsidR="004725F2">
        <w:rPr>
          <w:rFonts w:ascii="Arial" w:eastAsia="Times New Roman" w:hAnsi="Arial" w:cs="Arial"/>
          <w:sz w:val="24"/>
          <w:szCs w:val="24"/>
        </w:rPr>
        <w:t>ely to turn to a</w:t>
      </w:r>
      <w:r w:rsidR="007709F4">
        <w:rPr>
          <w:rFonts w:ascii="Arial" w:eastAsia="Times New Roman" w:hAnsi="Arial" w:cs="Arial"/>
          <w:sz w:val="24"/>
          <w:szCs w:val="24"/>
        </w:rPr>
        <w:t xml:space="preserve"> </w:t>
      </w:r>
      <w:r w:rsidRPr="00113C90">
        <w:rPr>
          <w:rFonts w:ascii="Arial" w:eastAsia="Times New Roman" w:hAnsi="Arial" w:cs="Arial"/>
          <w:sz w:val="24"/>
          <w:szCs w:val="24"/>
        </w:rPr>
        <w:t xml:space="preserve">court in their </w:t>
      </w:r>
      <w:r w:rsidR="00325178">
        <w:rPr>
          <w:rFonts w:ascii="Arial" w:eastAsia="Times New Roman" w:hAnsi="Arial" w:cs="Arial"/>
          <w:sz w:val="24"/>
          <w:szCs w:val="24"/>
        </w:rPr>
        <w:t>c</w:t>
      </w:r>
      <w:r w:rsidRPr="00113C90">
        <w:rPr>
          <w:rFonts w:ascii="Arial" w:eastAsia="Times New Roman" w:hAnsi="Arial" w:cs="Arial"/>
          <w:sz w:val="24"/>
          <w:szCs w:val="24"/>
        </w:rPr>
        <w:t xml:space="preserve">ountry if their </w:t>
      </w:r>
      <w:r w:rsidR="00160C04">
        <w:rPr>
          <w:rFonts w:ascii="Arial" w:eastAsia="Times New Roman" w:hAnsi="Arial" w:cs="Arial"/>
          <w:sz w:val="24"/>
          <w:szCs w:val="24"/>
        </w:rPr>
        <w:t>Charter</w:t>
      </w:r>
      <w:r w:rsidR="00B32255" w:rsidRPr="00113C90">
        <w:rPr>
          <w:rFonts w:ascii="Arial" w:eastAsia="Times New Roman" w:hAnsi="Arial" w:cs="Arial"/>
          <w:sz w:val="24"/>
          <w:szCs w:val="24"/>
        </w:rPr>
        <w:t xml:space="preserve"> </w:t>
      </w:r>
      <w:r w:rsidRPr="00113C90">
        <w:rPr>
          <w:rFonts w:ascii="Arial" w:eastAsia="Times New Roman" w:hAnsi="Arial" w:cs="Arial"/>
          <w:sz w:val="24"/>
          <w:szCs w:val="24"/>
        </w:rPr>
        <w:t>rights were v</w:t>
      </w:r>
      <w:r w:rsidR="00113C90">
        <w:rPr>
          <w:rFonts w:ascii="Arial" w:eastAsia="Times New Roman" w:hAnsi="Arial" w:cs="Arial"/>
          <w:sz w:val="24"/>
          <w:szCs w:val="24"/>
        </w:rPr>
        <w:t>iolated</w:t>
      </w:r>
      <w:r w:rsidR="00255E69">
        <w:rPr>
          <w:rFonts w:ascii="Arial" w:eastAsia="Times New Roman" w:hAnsi="Arial" w:cs="Arial"/>
          <w:sz w:val="24"/>
          <w:szCs w:val="24"/>
        </w:rPr>
        <w:t>. I</w:t>
      </w:r>
      <w:r w:rsidR="00113C90">
        <w:rPr>
          <w:rFonts w:ascii="Arial" w:eastAsia="Times New Roman" w:hAnsi="Arial" w:cs="Arial"/>
          <w:sz w:val="24"/>
          <w:szCs w:val="24"/>
        </w:rPr>
        <w:t xml:space="preserve">n six </w:t>
      </w:r>
      <w:r w:rsidR="004725F2">
        <w:rPr>
          <w:rFonts w:ascii="Arial" w:eastAsia="Times New Roman" w:hAnsi="Arial" w:cs="Arial"/>
          <w:sz w:val="24"/>
          <w:szCs w:val="24"/>
        </w:rPr>
        <w:t xml:space="preserve">Member States </w:t>
      </w:r>
      <w:r w:rsidR="00113C90">
        <w:rPr>
          <w:rFonts w:ascii="Arial" w:eastAsia="Times New Roman" w:hAnsi="Arial" w:cs="Arial"/>
          <w:sz w:val="24"/>
          <w:szCs w:val="24"/>
        </w:rPr>
        <w:t>t</w:t>
      </w:r>
      <w:r w:rsidRPr="00113C90">
        <w:rPr>
          <w:rFonts w:ascii="Arial" w:eastAsia="Times New Roman" w:hAnsi="Arial" w:cs="Arial"/>
          <w:sz w:val="24"/>
          <w:szCs w:val="24"/>
        </w:rPr>
        <w:t xml:space="preserve">hey were most likely to an EU institution. In seven </w:t>
      </w:r>
      <w:r w:rsidR="004725F2">
        <w:rPr>
          <w:rFonts w:ascii="Arial" w:eastAsia="Times New Roman" w:hAnsi="Arial" w:cs="Arial"/>
          <w:sz w:val="24"/>
          <w:szCs w:val="24"/>
        </w:rPr>
        <w:t>Member States</w:t>
      </w:r>
      <w:r w:rsidRPr="00113C90">
        <w:rPr>
          <w:rFonts w:ascii="Arial" w:eastAsia="Times New Roman" w:hAnsi="Arial" w:cs="Arial"/>
          <w:sz w:val="24"/>
          <w:szCs w:val="24"/>
        </w:rPr>
        <w:t xml:space="preserve">, respondents </w:t>
      </w:r>
      <w:r w:rsidR="00325178">
        <w:rPr>
          <w:rFonts w:ascii="Arial" w:eastAsia="Times New Roman" w:hAnsi="Arial" w:cs="Arial"/>
          <w:sz w:val="24"/>
          <w:szCs w:val="24"/>
        </w:rPr>
        <w:t xml:space="preserve">were </w:t>
      </w:r>
      <w:r w:rsidR="00F552D8">
        <w:rPr>
          <w:rFonts w:ascii="Arial" w:eastAsia="Times New Roman" w:hAnsi="Arial" w:cs="Arial"/>
          <w:sz w:val="24"/>
          <w:szCs w:val="24"/>
        </w:rPr>
        <w:t xml:space="preserve">most </w:t>
      </w:r>
      <w:r w:rsidRPr="00113C90">
        <w:rPr>
          <w:rFonts w:ascii="Arial" w:eastAsia="Times New Roman" w:hAnsi="Arial" w:cs="Arial"/>
          <w:sz w:val="24"/>
          <w:szCs w:val="24"/>
        </w:rPr>
        <w:t xml:space="preserve">likely to turn to a national ombudsman or independent body, and in the remaining two Member States –Belgium and Sweden –a majority of respondents would turn to the national police. </w:t>
      </w:r>
    </w:p>
    <w:p w14:paraId="6076D3E5" w14:textId="77777777" w:rsidR="007709F4" w:rsidRDefault="007709F4" w:rsidP="004725F2">
      <w:pPr>
        <w:spacing w:after="0" w:line="240" w:lineRule="auto"/>
        <w:rPr>
          <w:rFonts w:ascii="Arial" w:eastAsia="Times New Roman" w:hAnsi="Arial" w:cs="Arial"/>
          <w:sz w:val="24"/>
          <w:szCs w:val="24"/>
        </w:rPr>
      </w:pPr>
    </w:p>
    <w:p w14:paraId="0095B578" w14:textId="5E93A03B" w:rsidR="00F56034" w:rsidRPr="00113C90" w:rsidRDefault="00B32255" w:rsidP="004725F2">
      <w:pPr>
        <w:spacing w:after="0" w:line="240" w:lineRule="auto"/>
        <w:rPr>
          <w:rFonts w:ascii="Arial" w:eastAsia="Times New Roman" w:hAnsi="Arial" w:cs="Arial"/>
          <w:sz w:val="24"/>
          <w:szCs w:val="24"/>
        </w:rPr>
      </w:pPr>
      <w:r w:rsidRPr="00113C90">
        <w:rPr>
          <w:rFonts w:ascii="Arial" w:eastAsia="Times New Roman" w:hAnsi="Arial" w:cs="Arial"/>
          <w:sz w:val="24"/>
          <w:szCs w:val="24"/>
        </w:rPr>
        <w:t xml:space="preserve">Significantly, Ireland had the lowest proportion of respondents who would turn to a court for a remedy for </w:t>
      </w:r>
      <w:r w:rsidR="00160C04">
        <w:rPr>
          <w:rFonts w:ascii="Arial" w:eastAsia="Times New Roman" w:hAnsi="Arial" w:cs="Arial"/>
          <w:sz w:val="24"/>
          <w:szCs w:val="24"/>
        </w:rPr>
        <w:t>Charter</w:t>
      </w:r>
      <w:r w:rsidRPr="00113C90">
        <w:rPr>
          <w:rFonts w:ascii="Arial" w:eastAsia="Times New Roman" w:hAnsi="Arial" w:cs="Arial"/>
          <w:sz w:val="24"/>
          <w:szCs w:val="24"/>
        </w:rPr>
        <w:t xml:space="preserve"> violations (29% as compared to an EU average of 43%). </w:t>
      </w:r>
    </w:p>
    <w:p w14:paraId="4E8F1403" w14:textId="7345C4C2" w:rsidR="00E81726" w:rsidRPr="00113C90" w:rsidRDefault="00B32255" w:rsidP="00113C90">
      <w:pPr>
        <w:spacing w:after="0" w:line="240" w:lineRule="auto"/>
        <w:rPr>
          <w:rFonts w:ascii="Arial" w:eastAsia="Times New Roman" w:hAnsi="Arial" w:cs="Arial"/>
          <w:sz w:val="24"/>
          <w:szCs w:val="24"/>
        </w:rPr>
      </w:pPr>
      <w:r w:rsidRPr="00113C90">
        <w:rPr>
          <w:rFonts w:ascii="Arial" w:eastAsia="Times New Roman" w:hAnsi="Arial" w:cs="Arial"/>
          <w:noProof/>
          <w:sz w:val="24"/>
          <w:szCs w:val="24"/>
          <w:lang w:val="en-US"/>
        </w:rPr>
        <w:lastRenderedPageBreak/>
        <w:drawing>
          <wp:inline distT="0" distB="0" distL="0" distR="0" wp14:anchorId="4EF1FCE7" wp14:editId="2AB230FD">
            <wp:extent cx="6172200" cy="8235950"/>
            <wp:effectExtent l="0" t="0" r="0" b="0"/>
            <wp:docPr id="9" name="Picture 9" descr="Macintosh HD:Users:padraickenna:Dropbox:Screenshots:Screenshot 2016-09-01 14.4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adraickenna:Dropbox:Screenshots:Screenshot 2016-09-01 14.47.5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2200" cy="8235950"/>
                    </a:xfrm>
                    <a:prstGeom prst="rect">
                      <a:avLst/>
                    </a:prstGeom>
                    <a:noFill/>
                    <a:ln>
                      <a:noFill/>
                    </a:ln>
                  </pic:spPr>
                </pic:pic>
              </a:graphicData>
            </a:graphic>
          </wp:inline>
        </w:drawing>
      </w:r>
    </w:p>
    <w:p w14:paraId="667B86FF" w14:textId="77777777" w:rsidR="00113C90" w:rsidRDefault="00113C90" w:rsidP="00113C90">
      <w:pPr>
        <w:spacing w:after="0" w:line="240" w:lineRule="auto"/>
        <w:rPr>
          <w:rFonts w:ascii="Arial" w:eastAsia="Times New Roman" w:hAnsi="Arial" w:cs="Arial"/>
          <w:sz w:val="24"/>
          <w:szCs w:val="24"/>
        </w:rPr>
      </w:pPr>
    </w:p>
    <w:p w14:paraId="2BF6CFA3" w14:textId="77777777" w:rsidR="00113C90" w:rsidRDefault="00113C90" w:rsidP="00113C90">
      <w:pPr>
        <w:spacing w:after="0" w:line="240" w:lineRule="auto"/>
        <w:rPr>
          <w:rFonts w:ascii="Arial" w:eastAsia="Times New Roman" w:hAnsi="Arial" w:cs="Arial"/>
          <w:sz w:val="24"/>
          <w:szCs w:val="24"/>
        </w:rPr>
      </w:pPr>
    </w:p>
    <w:p w14:paraId="7ED7A8BD" w14:textId="77777777" w:rsidR="00F552D8" w:rsidRDefault="00F552D8" w:rsidP="0071169B">
      <w:pPr>
        <w:spacing w:after="0" w:line="240" w:lineRule="auto"/>
        <w:rPr>
          <w:rFonts w:ascii="Arial" w:hAnsi="Arial" w:cs="Arial"/>
          <w:sz w:val="24"/>
          <w:szCs w:val="24"/>
        </w:rPr>
      </w:pPr>
    </w:p>
    <w:p w14:paraId="0B8F92F6" w14:textId="77777777" w:rsidR="00255E69" w:rsidRDefault="007709F4" w:rsidP="0071169B">
      <w:pPr>
        <w:spacing w:after="0" w:line="240" w:lineRule="auto"/>
        <w:rPr>
          <w:rFonts w:ascii="Arial" w:hAnsi="Arial" w:cs="Arial"/>
          <w:sz w:val="24"/>
          <w:szCs w:val="24"/>
        </w:rPr>
      </w:pPr>
      <w:r>
        <w:rPr>
          <w:rFonts w:ascii="Arial" w:hAnsi="Arial" w:cs="Arial"/>
          <w:sz w:val="24"/>
          <w:szCs w:val="24"/>
        </w:rPr>
        <w:t>N</w:t>
      </w:r>
      <w:r w:rsidRPr="00113C90">
        <w:rPr>
          <w:rFonts w:ascii="Arial" w:hAnsi="Arial" w:cs="Arial"/>
          <w:sz w:val="24"/>
          <w:szCs w:val="24"/>
        </w:rPr>
        <w:t xml:space="preserve">ational courts </w:t>
      </w:r>
      <w:r>
        <w:rPr>
          <w:rFonts w:ascii="Arial" w:hAnsi="Arial" w:cs="Arial"/>
          <w:sz w:val="24"/>
          <w:szCs w:val="24"/>
        </w:rPr>
        <w:t xml:space="preserve">in all EU Member States </w:t>
      </w:r>
      <w:r w:rsidRPr="00113C90">
        <w:rPr>
          <w:rFonts w:ascii="Arial" w:hAnsi="Arial" w:cs="Arial"/>
          <w:sz w:val="24"/>
          <w:szCs w:val="24"/>
        </w:rPr>
        <w:t xml:space="preserve">parties can invoke the </w:t>
      </w:r>
      <w:r>
        <w:rPr>
          <w:rFonts w:ascii="Arial" w:hAnsi="Arial" w:cs="Arial"/>
          <w:sz w:val="24"/>
          <w:szCs w:val="24"/>
        </w:rPr>
        <w:t>Charter</w:t>
      </w:r>
      <w:r w:rsidRPr="00113C90">
        <w:rPr>
          <w:rFonts w:ascii="Arial" w:hAnsi="Arial" w:cs="Arial"/>
          <w:sz w:val="24"/>
          <w:szCs w:val="24"/>
        </w:rPr>
        <w:t xml:space="preserve"> at their own initit</w:t>
      </w:r>
      <w:r>
        <w:rPr>
          <w:rFonts w:ascii="Arial" w:hAnsi="Arial" w:cs="Arial"/>
          <w:sz w:val="24"/>
          <w:szCs w:val="24"/>
        </w:rPr>
        <w:t>ia</w:t>
      </w:r>
      <w:r w:rsidRPr="00113C90">
        <w:rPr>
          <w:rFonts w:ascii="Arial" w:hAnsi="Arial" w:cs="Arial"/>
          <w:sz w:val="24"/>
          <w:szCs w:val="24"/>
        </w:rPr>
        <w:t>ve</w:t>
      </w:r>
      <w:r>
        <w:rPr>
          <w:rFonts w:ascii="Arial" w:hAnsi="Arial" w:cs="Arial"/>
          <w:sz w:val="24"/>
          <w:szCs w:val="24"/>
        </w:rPr>
        <w:t xml:space="preserve"> -</w:t>
      </w:r>
      <w:r w:rsidRPr="00113C90">
        <w:rPr>
          <w:rFonts w:ascii="Arial" w:hAnsi="Arial" w:cs="Arial"/>
          <w:sz w:val="24"/>
          <w:szCs w:val="24"/>
        </w:rPr>
        <w:t xml:space="preserve"> judges can invoke it o</w:t>
      </w:r>
      <w:r>
        <w:rPr>
          <w:rFonts w:ascii="Arial" w:hAnsi="Arial" w:cs="Arial"/>
          <w:sz w:val="24"/>
          <w:szCs w:val="24"/>
        </w:rPr>
        <w:t>f</w:t>
      </w:r>
      <w:r w:rsidRPr="00113C90">
        <w:rPr>
          <w:rFonts w:ascii="Arial" w:hAnsi="Arial" w:cs="Arial"/>
          <w:sz w:val="24"/>
          <w:szCs w:val="24"/>
        </w:rPr>
        <w:t xml:space="preserve"> their own motion. </w:t>
      </w:r>
      <w:r w:rsidR="00255E69">
        <w:rPr>
          <w:rFonts w:ascii="Arial" w:hAnsi="Arial" w:cs="Arial"/>
          <w:sz w:val="24"/>
          <w:szCs w:val="24"/>
        </w:rPr>
        <w:t xml:space="preserve">In 2015, FRA examined </w:t>
      </w:r>
      <w:r w:rsidRPr="00113C90">
        <w:rPr>
          <w:rFonts w:ascii="Arial" w:hAnsi="Arial" w:cs="Arial"/>
          <w:sz w:val="24"/>
          <w:szCs w:val="24"/>
        </w:rPr>
        <w:t xml:space="preserve">68 </w:t>
      </w:r>
      <w:r w:rsidR="00255E69">
        <w:rPr>
          <w:rFonts w:ascii="Arial" w:hAnsi="Arial" w:cs="Arial"/>
          <w:sz w:val="24"/>
          <w:szCs w:val="24"/>
        </w:rPr>
        <w:t xml:space="preserve">national </w:t>
      </w:r>
      <w:r w:rsidRPr="00113C90">
        <w:rPr>
          <w:rFonts w:ascii="Arial" w:hAnsi="Arial" w:cs="Arial"/>
          <w:sz w:val="24"/>
          <w:szCs w:val="24"/>
        </w:rPr>
        <w:t>court decisions</w:t>
      </w:r>
      <w:r w:rsidR="00255E69">
        <w:rPr>
          <w:rFonts w:ascii="Arial" w:hAnsi="Arial" w:cs="Arial"/>
          <w:sz w:val="24"/>
          <w:szCs w:val="24"/>
        </w:rPr>
        <w:t xml:space="preserve"> </w:t>
      </w:r>
      <w:r w:rsidRPr="00113C90">
        <w:rPr>
          <w:rFonts w:ascii="Arial" w:hAnsi="Arial" w:cs="Arial"/>
          <w:sz w:val="24"/>
          <w:szCs w:val="24"/>
        </w:rPr>
        <w:t xml:space="preserve">in 26 EU </w:t>
      </w:r>
      <w:r>
        <w:rPr>
          <w:rFonts w:ascii="Arial" w:hAnsi="Arial" w:cs="Arial"/>
          <w:sz w:val="24"/>
          <w:szCs w:val="24"/>
        </w:rPr>
        <w:t>M</w:t>
      </w:r>
      <w:r w:rsidRPr="00113C90">
        <w:rPr>
          <w:rFonts w:ascii="Arial" w:hAnsi="Arial" w:cs="Arial"/>
          <w:sz w:val="24"/>
          <w:szCs w:val="24"/>
        </w:rPr>
        <w:t xml:space="preserve">ember States (three per </w:t>
      </w:r>
      <w:r>
        <w:rPr>
          <w:rFonts w:ascii="Arial" w:hAnsi="Arial" w:cs="Arial"/>
          <w:sz w:val="24"/>
          <w:szCs w:val="24"/>
        </w:rPr>
        <w:t xml:space="preserve">Member </w:t>
      </w:r>
      <w:r w:rsidRPr="00113C90">
        <w:rPr>
          <w:rFonts w:ascii="Arial" w:hAnsi="Arial" w:cs="Arial"/>
          <w:sz w:val="24"/>
          <w:szCs w:val="24"/>
        </w:rPr>
        <w:t>State)</w:t>
      </w:r>
      <w:r w:rsidR="00255E69">
        <w:rPr>
          <w:rFonts w:ascii="Arial" w:hAnsi="Arial" w:cs="Arial"/>
          <w:sz w:val="24"/>
          <w:szCs w:val="24"/>
        </w:rPr>
        <w:t>.</w:t>
      </w:r>
      <w:r w:rsidRPr="00113C90">
        <w:rPr>
          <w:rStyle w:val="FootnoteReference"/>
          <w:rFonts w:ascii="Arial" w:hAnsi="Arial" w:cs="Arial"/>
          <w:sz w:val="24"/>
          <w:szCs w:val="24"/>
        </w:rPr>
        <w:footnoteReference w:id="13"/>
      </w:r>
      <w:r w:rsidRPr="00113C90">
        <w:rPr>
          <w:rFonts w:ascii="Arial" w:hAnsi="Arial" w:cs="Arial"/>
          <w:sz w:val="24"/>
          <w:szCs w:val="24"/>
        </w:rPr>
        <w:t xml:space="preserve"> This </w:t>
      </w:r>
      <w:r w:rsidR="00255E69">
        <w:rPr>
          <w:rFonts w:ascii="Arial" w:hAnsi="Arial" w:cs="Arial"/>
          <w:sz w:val="24"/>
          <w:szCs w:val="24"/>
        </w:rPr>
        <w:t xml:space="preserve">study found that </w:t>
      </w:r>
      <w:r w:rsidRPr="00113C90">
        <w:rPr>
          <w:rFonts w:ascii="Arial" w:hAnsi="Arial" w:cs="Arial"/>
          <w:sz w:val="24"/>
          <w:szCs w:val="24"/>
        </w:rPr>
        <w:t xml:space="preserve">in one third of </w:t>
      </w:r>
      <w:r w:rsidR="00255E69">
        <w:rPr>
          <w:rFonts w:ascii="Arial" w:hAnsi="Arial" w:cs="Arial"/>
          <w:sz w:val="24"/>
          <w:szCs w:val="24"/>
        </w:rPr>
        <w:t xml:space="preserve">cases </w:t>
      </w:r>
      <w:r w:rsidRPr="00113C90">
        <w:rPr>
          <w:rFonts w:ascii="Arial" w:hAnsi="Arial" w:cs="Arial"/>
          <w:sz w:val="24"/>
          <w:szCs w:val="24"/>
        </w:rPr>
        <w:t>it was national judge, on their own initiative</w:t>
      </w:r>
      <w:r>
        <w:rPr>
          <w:rFonts w:ascii="Arial" w:hAnsi="Arial" w:cs="Arial"/>
          <w:sz w:val="24"/>
          <w:szCs w:val="24"/>
        </w:rPr>
        <w:t>,</w:t>
      </w:r>
      <w:r w:rsidRPr="00113C90">
        <w:rPr>
          <w:rFonts w:ascii="Arial" w:hAnsi="Arial" w:cs="Arial"/>
          <w:sz w:val="24"/>
          <w:szCs w:val="24"/>
        </w:rPr>
        <w:t xml:space="preserve"> who first invoked the </w:t>
      </w:r>
      <w:r>
        <w:rPr>
          <w:rFonts w:ascii="Arial" w:hAnsi="Arial" w:cs="Arial"/>
          <w:sz w:val="24"/>
          <w:szCs w:val="24"/>
        </w:rPr>
        <w:t>Charter</w:t>
      </w:r>
      <w:r w:rsidRPr="00113C90">
        <w:rPr>
          <w:rFonts w:ascii="Arial" w:hAnsi="Arial" w:cs="Arial"/>
          <w:sz w:val="24"/>
          <w:szCs w:val="24"/>
        </w:rPr>
        <w:t xml:space="preserve">. </w:t>
      </w:r>
    </w:p>
    <w:p w14:paraId="5AE3A1AE" w14:textId="77777777" w:rsidR="00255E69" w:rsidRDefault="00255E69" w:rsidP="0071169B">
      <w:pPr>
        <w:spacing w:after="0" w:line="240" w:lineRule="auto"/>
        <w:rPr>
          <w:rFonts w:ascii="Arial" w:hAnsi="Arial" w:cs="Arial"/>
          <w:sz w:val="24"/>
          <w:szCs w:val="24"/>
        </w:rPr>
      </w:pPr>
    </w:p>
    <w:p w14:paraId="32ED86FE" w14:textId="63585A3C" w:rsidR="0071169B" w:rsidRDefault="007709F4" w:rsidP="0071169B">
      <w:pPr>
        <w:spacing w:after="0" w:line="240" w:lineRule="auto"/>
        <w:rPr>
          <w:rFonts w:ascii="Arial" w:hAnsi="Arial" w:cs="Arial"/>
          <w:sz w:val="24"/>
          <w:szCs w:val="24"/>
        </w:rPr>
      </w:pPr>
      <w:r w:rsidRPr="00113C90">
        <w:rPr>
          <w:rFonts w:ascii="Arial" w:hAnsi="Arial" w:cs="Arial"/>
          <w:sz w:val="24"/>
          <w:szCs w:val="24"/>
        </w:rPr>
        <w:t xml:space="preserve">The main areas where the </w:t>
      </w:r>
      <w:r>
        <w:rPr>
          <w:rFonts w:ascii="Arial" w:hAnsi="Arial" w:cs="Arial"/>
          <w:sz w:val="24"/>
          <w:szCs w:val="24"/>
        </w:rPr>
        <w:t>Charter</w:t>
      </w:r>
      <w:r w:rsidRPr="00113C90">
        <w:rPr>
          <w:rFonts w:ascii="Arial" w:hAnsi="Arial" w:cs="Arial"/>
          <w:sz w:val="24"/>
          <w:szCs w:val="24"/>
        </w:rPr>
        <w:t xml:space="preserve"> was invoked in </w:t>
      </w:r>
      <w:r>
        <w:rPr>
          <w:rFonts w:ascii="Arial" w:hAnsi="Arial" w:cs="Arial"/>
          <w:sz w:val="24"/>
          <w:szCs w:val="24"/>
        </w:rPr>
        <w:t>national courts were:</w:t>
      </w:r>
      <w:r w:rsidRPr="00113C90">
        <w:rPr>
          <w:rFonts w:ascii="Arial" w:hAnsi="Arial" w:cs="Arial"/>
          <w:sz w:val="24"/>
          <w:szCs w:val="24"/>
        </w:rPr>
        <w:t xml:space="preserve"> Article 47</w:t>
      </w:r>
      <w:r>
        <w:rPr>
          <w:rFonts w:ascii="Arial" w:hAnsi="Arial" w:cs="Arial"/>
          <w:sz w:val="24"/>
          <w:szCs w:val="24"/>
        </w:rPr>
        <w:t>,</w:t>
      </w:r>
      <w:r w:rsidRPr="00113C90">
        <w:rPr>
          <w:rFonts w:ascii="Arial" w:hAnsi="Arial" w:cs="Arial"/>
          <w:sz w:val="24"/>
          <w:szCs w:val="24"/>
        </w:rPr>
        <w:t xml:space="preserve"> on the right to an effective remedy and fair trial</w:t>
      </w:r>
      <w:r>
        <w:rPr>
          <w:rFonts w:ascii="Arial" w:hAnsi="Arial" w:cs="Arial"/>
          <w:sz w:val="24"/>
          <w:szCs w:val="24"/>
        </w:rPr>
        <w:t>;</w:t>
      </w:r>
      <w:r w:rsidRPr="00113C90">
        <w:rPr>
          <w:rFonts w:ascii="Arial" w:hAnsi="Arial" w:cs="Arial"/>
          <w:sz w:val="24"/>
          <w:szCs w:val="24"/>
        </w:rPr>
        <w:t xml:space="preserve"> Article 7, respect for privacy and family life</w:t>
      </w:r>
      <w:r>
        <w:rPr>
          <w:rFonts w:ascii="Arial" w:hAnsi="Arial" w:cs="Arial"/>
          <w:sz w:val="24"/>
          <w:szCs w:val="24"/>
        </w:rPr>
        <w:t>;</w:t>
      </w:r>
      <w:r w:rsidRPr="00113C90">
        <w:rPr>
          <w:rFonts w:ascii="Arial" w:hAnsi="Arial" w:cs="Arial"/>
          <w:sz w:val="24"/>
          <w:szCs w:val="24"/>
        </w:rPr>
        <w:t xml:space="preserve"> Article 8 protection of personal data</w:t>
      </w:r>
      <w:r>
        <w:rPr>
          <w:rFonts w:ascii="Arial" w:hAnsi="Arial" w:cs="Arial"/>
          <w:sz w:val="24"/>
          <w:szCs w:val="24"/>
        </w:rPr>
        <w:t>;</w:t>
      </w:r>
      <w:r w:rsidRPr="00113C90">
        <w:rPr>
          <w:rFonts w:ascii="Arial" w:hAnsi="Arial" w:cs="Arial"/>
          <w:sz w:val="24"/>
          <w:szCs w:val="24"/>
        </w:rPr>
        <w:t xml:space="preserve"> Article 51 and 52 on field of application and scope of guaranteed rights</w:t>
      </w:r>
      <w:r w:rsidR="00255E69">
        <w:rPr>
          <w:rFonts w:ascii="Arial" w:hAnsi="Arial" w:cs="Arial"/>
          <w:sz w:val="24"/>
          <w:szCs w:val="24"/>
        </w:rPr>
        <w:t>.</w:t>
      </w:r>
      <w:r w:rsidRPr="00113C90">
        <w:rPr>
          <w:rStyle w:val="FootnoteReference"/>
          <w:rFonts w:ascii="Arial" w:hAnsi="Arial" w:cs="Arial"/>
          <w:sz w:val="24"/>
          <w:szCs w:val="24"/>
        </w:rPr>
        <w:footnoteReference w:id="14"/>
      </w:r>
      <w:r w:rsidR="0071169B">
        <w:rPr>
          <w:rFonts w:ascii="Arial" w:hAnsi="Arial" w:cs="Arial"/>
          <w:sz w:val="24"/>
          <w:szCs w:val="24"/>
        </w:rPr>
        <w:t xml:space="preserve"> </w:t>
      </w:r>
    </w:p>
    <w:p w14:paraId="5D609EA1" w14:textId="77777777" w:rsidR="0071169B" w:rsidRPr="00113C90" w:rsidRDefault="0071169B" w:rsidP="0071169B">
      <w:pPr>
        <w:spacing w:after="0" w:line="240" w:lineRule="auto"/>
        <w:rPr>
          <w:rFonts w:ascii="Arial" w:hAnsi="Arial" w:cs="Arial"/>
          <w:sz w:val="24"/>
          <w:szCs w:val="24"/>
        </w:rPr>
      </w:pPr>
    </w:p>
    <w:p w14:paraId="0C8B94E2" w14:textId="77777777" w:rsidR="00BB13DE" w:rsidRPr="00113C90" w:rsidRDefault="00BB13DE" w:rsidP="00113C90">
      <w:pPr>
        <w:spacing w:after="0" w:line="240" w:lineRule="auto"/>
        <w:rPr>
          <w:rFonts w:ascii="Arial" w:eastAsia="Times New Roman" w:hAnsi="Arial" w:cs="Arial"/>
          <w:sz w:val="24"/>
          <w:szCs w:val="24"/>
        </w:rPr>
      </w:pPr>
    </w:p>
    <w:p w14:paraId="460243DF" w14:textId="1CDEE735" w:rsidR="00C8146E" w:rsidRPr="00113C90" w:rsidRDefault="00C8146E" w:rsidP="00113C90">
      <w:pPr>
        <w:spacing w:after="0" w:line="240" w:lineRule="auto"/>
        <w:rPr>
          <w:rFonts w:ascii="Arial" w:eastAsia="Times New Roman" w:hAnsi="Arial" w:cs="Arial"/>
          <w:sz w:val="24"/>
          <w:szCs w:val="24"/>
        </w:rPr>
      </w:pPr>
      <w:r w:rsidRPr="00113C90">
        <w:rPr>
          <w:rFonts w:ascii="Arial" w:eastAsia="Times New Roman" w:hAnsi="Arial" w:cs="Arial"/>
          <w:noProof/>
          <w:sz w:val="24"/>
          <w:szCs w:val="24"/>
          <w:lang w:val="en-US"/>
        </w:rPr>
        <w:drawing>
          <wp:inline distT="0" distB="0" distL="0" distR="0" wp14:anchorId="7999A8A1" wp14:editId="69651438">
            <wp:extent cx="5727700" cy="5130800"/>
            <wp:effectExtent l="0" t="0" r="12700" b="0"/>
            <wp:docPr id="3" name="Picture 3" descr="Macintosh HD:Users:padraickenna:Dropbox:Screenshots:Screenshot 2016-09-02 14.5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draickenna:Dropbox:Screenshots:Screenshot 2016-09-02 14.58.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5130800"/>
                    </a:xfrm>
                    <a:prstGeom prst="rect">
                      <a:avLst/>
                    </a:prstGeom>
                    <a:noFill/>
                    <a:ln>
                      <a:noFill/>
                    </a:ln>
                  </pic:spPr>
                </pic:pic>
              </a:graphicData>
            </a:graphic>
          </wp:inline>
        </w:drawing>
      </w:r>
    </w:p>
    <w:p w14:paraId="1E26FC48" w14:textId="77777777" w:rsidR="00BB13DE" w:rsidRDefault="00BB13DE" w:rsidP="00113C90">
      <w:pPr>
        <w:spacing w:after="0" w:line="240" w:lineRule="auto"/>
        <w:rPr>
          <w:rFonts w:ascii="Arial" w:eastAsia="Times New Roman" w:hAnsi="Arial" w:cs="Arial"/>
          <w:sz w:val="24"/>
          <w:szCs w:val="24"/>
        </w:rPr>
      </w:pPr>
    </w:p>
    <w:p w14:paraId="58A906EF" w14:textId="77777777" w:rsidR="00BB13DE" w:rsidRDefault="00BB13DE" w:rsidP="00113C90">
      <w:pPr>
        <w:spacing w:after="0" w:line="240" w:lineRule="auto"/>
        <w:rPr>
          <w:rFonts w:ascii="Arial" w:eastAsia="Times New Roman" w:hAnsi="Arial" w:cs="Arial"/>
          <w:sz w:val="24"/>
          <w:szCs w:val="24"/>
        </w:rPr>
      </w:pPr>
    </w:p>
    <w:p w14:paraId="677BE22D" w14:textId="77777777" w:rsidR="00BB13DE" w:rsidRDefault="00BB13DE" w:rsidP="00113C90">
      <w:pPr>
        <w:spacing w:after="0" w:line="240" w:lineRule="auto"/>
        <w:rPr>
          <w:rFonts w:ascii="Arial" w:eastAsia="Times New Roman" w:hAnsi="Arial" w:cs="Arial"/>
          <w:sz w:val="24"/>
          <w:szCs w:val="24"/>
        </w:rPr>
      </w:pPr>
    </w:p>
    <w:p w14:paraId="0BCCB2F2" w14:textId="3BCB11B8" w:rsidR="0071169B" w:rsidRDefault="00255E69" w:rsidP="0071169B">
      <w:pPr>
        <w:spacing w:after="0" w:line="240" w:lineRule="auto"/>
        <w:rPr>
          <w:rFonts w:ascii="Arial" w:hAnsi="Arial" w:cs="Arial"/>
          <w:sz w:val="24"/>
          <w:szCs w:val="24"/>
        </w:rPr>
      </w:pPr>
      <w:r>
        <w:rPr>
          <w:rFonts w:ascii="Arial" w:hAnsi="Arial" w:cs="Arial"/>
          <w:sz w:val="24"/>
          <w:szCs w:val="24"/>
        </w:rPr>
        <w:lastRenderedPageBreak/>
        <w:t xml:space="preserve">The </w:t>
      </w:r>
      <w:r w:rsidR="00F552D8">
        <w:rPr>
          <w:rFonts w:ascii="Arial" w:hAnsi="Arial" w:cs="Arial"/>
          <w:sz w:val="24"/>
          <w:szCs w:val="24"/>
        </w:rPr>
        <w:t xml:space="preserve">following Figure </w:t>
      </w:r>
      <w:r>
        <w:rPr>
          <w:rFonts w:ascii="Arial" w:hAnsi="Arial" w:cs="Arial"/>
          <w:sz w:val="24"/>
          <w:szCs w:val="24"/>
        </w:rPr>
        <w:t xml:space="preserve">from that FRA 2015 study </w:t>
      </w:r>
      <w:r w:rsidR="0071169B">
        <w:rPr>
          <w:rFonts w:ascii="Arial" w:hAnsi="Arial" w:cs="Arial"/>
          <w:sz w:val="24"/>
          <w:szCs w:val="24"/>
        </w:rPr>
        <w:t xml:space="preserve">shows the actual numbers of references to Charter </w:t>
      </w:r>
      <w:r>
        <w:rPr>
          <w:rFonts w:ascii="Arial" w:hAnsi="Arial" w:cs="Arial"/>
          <w:sz w:val="24"/>
          <w:szCs w:val="24"/>
        </w:rPr>
        <w:t xml:space="preserve">Articles </w:t>
      </w:r>
      <w:r w:rsidR="0071169B">
        <w:rPr>
          <w:rFonts w:ascii="Arial" w:hAnsi="Arial" w:cs="Arial"/>
          <w:sz w:val="24"/>
          <w:szCs w:val="24"/>
        </w:rPr>
        <w:t xml:space="preserve">in the sample of </w:t>
      </w:r>
      <w:r>
        <w:rPr>
          <w:rFonts w:ascii="Arial" w:hAnsi="Arial" w:cs="Arial"/>
          <w:sz w:val="24"/>
          <w:szCs w:val="24"/>
        </w:rPr>
        <w:t xml:space="preserve">68 </w:t>
      </w:r>
      <w:r w:rsidR="0071169B">
        <w:rPr>
          <w:rFonts w:ascii="Arial" w:hAnsi="Arial" w:cs="Arial"/>
          <w:sz w:val="24"/>
          <w:szCs w:val="24"/>
        </w:rPr>
        <w:t>national cases examined</w:t>
      </w:r>
      <w:r>
        <w:rPr>
          <w:rFonts w:ascii="Arial" w:hAnsi="Arial" w:cs="Arial"/>
          <w:sz w:val="24"/>
          <w:szCs w:val="24"/>
        </w:rPr>
        <w:t xml:space="preserve">. </w:t>
      </w:r>
      <w:r w:rsidR="0071169B">
        <w:rPr>
          <w:rFonts w:ascii="Arial" w:hAnsi="Arial" w:cs="Arial"/>
          <w:sz w:val="24"/>
          <w:szCs w:val="24"/>
        </w:rPr>
        <w:t xml:space="preserve"> </w:t>
      </w:r>
    </w:p>
    <w:p w14:paraId="744C2CFE" w14:textId="77777777" w:rsidR="0071169B" w:rsidRDefault="0071169B" w:rsidP="0071169B">
      <w:pPr>
        <w:spacing w:after="0" w:line="240" w:lineRule="auto"/>
        <w:rPr>
          <w:rFonts w:ascii="Arial" w:hAnsi="Arial" w:cs="Arial"/>
          <w:sz w:val="24"/>
          <w:szCs w:val="24"/>
        </w:rPr>
      </w:pPr>
    </w:p>
    <w:p w14:paraId="15018C7A" w14:textId="46F9B2C6" w:rsidR="0071169B" w:rsidRPr="00113C90" w:rsidRDefault="0071169B" w:rsidP="0071169B">
      <w:pPr>
        <w:spacing w:after="0" w:line="240" w:lineRule="auto"/>
        <w:rPr>
          <w:rFonts w:ascii="Arial" w:hAnsi="Arial" w:cs="Arial"/>
          <w:sz w:val="24"/>
          <w:szCs w:val="24"/>
        </w:rPr>
      </w:pPr>
      <w:r w:rsidRPr="00113C90">
        <w:rPr>
          <w:rFonts w:ascii="Arial" w:hAnsi="Arial" w:cs="Arial"/>
          <w:noProof/>
          <w:sz w:val="24"/>
          <w:szCs w:val="24"/>
          <w:lang w:val="en-US"/>
        </w:rPr>
        <w:drawing>
          <wp:inline distT="0" distB="0" distL="0" distR="0" wp14:anchorId="46B15C18" wp14:editId="1D26DFAF">
            <wp:extent cx="5734050" cy="5289550"/>
            <wp:effectExtent l="0" t="0" r="6350" b="0"/>
            <wp:docPr id="4" name="Picture 4" descr="Macintosh HD:Users:padraickenna:Dropbox:Screenshots:Screenshot 2016-09-14 11.4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draickenna:Dropbox:Screenshots:Screenshot 2016-09-14 11.48.0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5289550"/>
                    </a:xfrm>
                    <a:prstGeom prst="rect">
                      <a:avLst/>
                    </a:prstGeom>
                    <a:noFill/>
                    <a:ln>
                      <a:noFill/>
                    </a:ln>
                  </pic:spPr>
                </pic:pic>
              </a:graphicData>
            </a:graphic>
          </wp:inline>
        </w:drawing>
      </w:r>
    </w:p>
    <w:p w14:paraId="7776E01C" w14:textId="77777777" w:rsidR="0071169B" w:rsidRPr="00113C90" w:rsidRDefault="0071169B" w:rsidP="0071169B">
      <w:pPr>
        <w:spacing w:after="0" w:line="240" w:lineRule="auto"/>
        <w:rPr>
          <w:rFonts w:ascii="Arial" w:hAnsi="Arial" w:cs="Arial"/>
          <w:sz w:val="24"/>
          <w:szCs w:val="24"/>
        </w:rPr>
      </w:pPr>
    </w:p>
    <w:p w14:paraId="3226ED94" w14:textId="77777777" w:rsidR="00255E69" w:rsidRDefault="0071169B" w:rsidP="0071169B">
      <w:pPr>
        <w:spacing w:after="0" w:line="240" w:lineRule="auto"/>
        <w:rPr>
          <w:rFonts w:ascii="Arial" w:eastAsia="Times New Roman" w:hAnsi="Arial" w:cs="Arial"/>
          <w:sz w:val="24"/>
          <w:szCs w:val="24"/>
        </w:rPr>
      </w:pPr>
      <w:r>
        <w:rPr>
          <w:rFonts w:ascii="Arial" w:eastAsia="Times New Roman" w:hAnsi="Arial" w:cs="Arial"/>
          <w:sz w:val="24"/>
          <w:szCs w:val="24"/>
        </w:rPr>
        <w:t xml:space="preserve">According to FRA, </w:t>
      </w:r>
      <w:r w:rsidRPr="00113C90">
        <w:rPr>
          <w:rFonts w:ascii="Arial" w:eastAsia="Times New Roman" w:hAnsi="Arial" w:cs="Arial"/>
          <w:sz w:val="24"/>
          <w:szCs w:val="24"/>
        </w:rPr>
        <w:t xml:space="preserve">the question of whether – and why – the </w:t>
      </w:r>
      <w:r>
        <w:rPr>
          <w:rFonts w:ascii="Arial" w:eastAsia="Times New Roman" w:hAnsi="Arial" w:cs="Arial"/>
          <w:sz w:val="24"/>
          <w:szCs w:val="24"/>
        </w:rPr>
        <w:t>Charter</w:t>
      </w:r>
      <w:r w:rsidRPr="00113C90">
        <w:rPr>
          <w:rFonts w:ascii="Arial" w:eastAsia="Times New Roman" w:hAnsi="Arial" w:cs="Arial"/>
          <w:sz w:val="24"/>
          <w:szCs w:val="24"/>
        </w:rPr>
        <w:t xml:space="preserve"> applies is rarely addressed in detail by national judges. </w:t>
      </w:r>
    </w:p>
    <w:p w14:paraId="195418C9" w14:textId="77777777" w:rsidR="00255E69" w:rsidRDefault="00255E69" w:rsidP="0071169B">
      <w:pPr>
        <w:spacing w:after="0" w:line="240" w:lineRule="auto"/>
        <w:rPr>
          <w:rFonts w:ascii="Arial" w:eastAsia="Times New Roman" w:hAnsi="Arial" w:cs="Arial"/>
          <w:sz w:val="24"/>
          <w:szCs w:val="24"/>
        </w:rPr>
      </w:pPr>
    </w:p>
    <w:p w14:paraId="2680906E" w14:textId="1A751930" w:rsidR="0071169B" w:rsidRPr="00255E69" w:rsidRDefault="0071169B" w:rsidP="00255E69">
      <w:pPr>
        <w:spacing w:after="0" w:line="240" w:lineRule="auto"/>
        <w:ind w:left="720"/>
        <w:rPr>
          <w:rFonts w:ascii="Arial" w:eastAsia="Times New Roman" w:hAnsi="Arial" w:cs="Arial"/>
        </w:rPr>
      </w:pPr>
      <w:r w:rsidRPr="00255E69">
        <w:rPr>
          <w:rFonts w:ascii="Arial" w:eastAsia="Times New Roman" w:hAnsi="Arial" w:cs="Arial"/>
        </w:rPr>
        <w:t>“Just as in previous years, courts often relied on the Charter without explaining whether, or why, the Charter legally applies. However, it would be beneficial for national courts to apply a systematic ‘Article 51 screening’. This could help ensure that the Charter is referred to in all cases in which it has the potential to add value; it would also increase awareness of the Charter among the national judiciary and serve legal certainty.”</w:t>
      </w:r>
      <w:r w:rsidRPr="00255E69">
        <w:rPr>
          <w:rStyle w:val="FootnoteReference"/>
          <w:rFonts w:ascii="Arial" w:eastAsia="Times New Roman" w:hAnsi="Arial" w:cs="Arial"/>
        </w:rPr>
        <w:footnoteReference w:id="15"/>
      </w:r>
    </w:p>
    <w:p w14:paraId="7D1EEE8A" w14:textId="77777777" w:rsidR="0071169B" w:rsidRDefault="0071169B" w:rsidP="00255E69">
      <w:pPr>
        <w:spacing w:after="0" w:line="240" w:lineRule="auto"/>
        <w:ind w:left="720"/>
        <w:rPr>
          <w:rFonts w:ascii="Arial" w:eastAsia="Times New Roman" w:hAnsi="Arial" w:cs="Arial"/>
          <w:sz w:val="24"/>
          <w:szCs w:val="24"/>
        </w:rPr>
      </w:pPr>
    </w:p>
    <w:p w14:paraId="41446184" w14:textId="77777777" w:rsidR="0071169B" w:rsidRDefault="0071169B" w:rsidP="00113C90">
      <w:pPr>
        <w:spacing w:after="0" w:line="240" w:lineRule="auto"/>
        <w:rPr>
          <w:rFonts w:ascii="Arial" w:eastAsia="Times New Roman" w:hAnsi="Arial" w:cs="Arial"/>
          <w:sz w:val="24"/>
          <w:szCs w:val="24"/>
        </w:rPr>
      </w:pPr>
    </w:p>
    <w:p w14:paraId="775DD413" w14:textId="77777777" w:rsidR="0071169B" w:rsidRDefault="0071169B" w:rsidP="00113C90">
      <w:pPr>
        <w:spacing w:after="0" w:line="240" w:lineRule="auto"/>
        <w:rPr>
          <w:rFonts w:ascii="Arial" w:eastAsia="Times New Roman" w:hAnsi="Arial" w:cs="Arial"/>
          <w:sz w:val="24"/>
          <w:szCs w:val="24"/>
        </w:rPr>
      </w:pPr>
    </w:p>
    <w:p w14:paraId="659DD5E9" w14:textId="77777777" w:rsidR="0071169B" w:rsidRDefault="0071169B" w:rsidP="00113C90">
      <w:pPr>
        <w:spacing w:after="0" w:line="240" w:lineRule="auto"/>
        <w:rPr>
          <w:rFonts w:ascii="Arial" w:eastAsia="Times New Roman" w:hAnsi="Arial" w:cs="Arial"/>
          <w:sz w:val="24"/>
          <w:szCs w:val="24"/>
        </w:rPr>
      </w:pPr>
    </w:p>
    <w:p w14:paraId="732432F8" w14:textId="77777777" w:rsidR="0071169B" w:rsidRDefault="0071169B" w:rsidP="00113C90">
      <w:pPr>
        <w:spacing w:after="0" w:line="240" w:lineRule="auto"/>
        <w:rPr>
          <w:rFonts w:ascii="Arial" w:eastAsia="Times New Roman" w:hAnsi="Arial" w:cs="Arial"/>
          <w:sz w:val="24"/>
          <w:szCs w:val="24"/>
        </w:rPr>
      </w:pPr>
    </w:p>
    <w:p w14:paraId="6C4F7542" w14:textId="4D6A93CB" w:rsidR="00802E93" w:rsidRPr="00113C90" w:rsidRDefault="00255E69" w:rsidP="00113C90">
      <w:pPr>
        <w:spacing w:after="0" w:line="240" w:lineRule="auto"/>
        <w:rPr>
          <w:rFonts w:ascii="Arial" w:eastAsia="Times New Roman" w:hAnsi="Arial" w:cs="Arial"/>
          <w:sz w:val="24"/>
          <w:szCs w:val="24"/>
        </w:rPr>
      </w:pPr>
      <w:r>
        <w:rPr>
          <w:rFonts w:ascii="Arial" w:eastAsia="Times New Roman" w:hAnsi="Arial" w:cs="Arial"/>
          <w:sz w:val="24"/>
          <w:szCs w:val="24"/>
        </w:rPr>
        <w:t>In Ireland , t</w:t>
      </w:r>
      <w:r w:rsidR="0071169B">
        <w:rPr>
          <w:rFonts w:ascii="Arial" w:eastAsia="Times New Roman" w:hAnsi="Arial" w:cs="Arial"/>
          <w:sz w:val="24"/>
          <w:szCs w:val="24"/>
        </w:rPr>
        <w:t xml:space="preserve">here are </w:t>
      </w:r>
      <w:r w:rsidR="00F552D8">
        <w:rPr>
          <w:rFonts w:ascii="Arial" w:eastAsia="Times New Roman" w:hAnsi="Arial" w:cs="Arial"/>
          <w:sz w:val="24"/>
          <w:szCs w:val="24"/>
        </w:rPr>
        <w:t>many r</w:t>
      </w:r>
      <w:r w:rsidR="00802E93" w:rsidRPr="00113C90">
        <w:rPr>
          <w:rFonts w:ascii="Arial" w:eastAsia="Times New Roman" w:hAnsi="Arial" w:cs="Arial"/>
          <w:sz w:val="24"/>
          <w:szCs w:val="24"/>
        </w:rPr>
        <w:t>eferences</w:t>
      </w:r>
      <w:r w:rsidR="00BB53F5" w:rsidRPr="00113C90">
        <w:rPr>
          <w:rFonts w:ascii="Arial" w:eastAsia="Times New Roman" w:hAnsi="Arial" w:cs="Arial"/>
          <w:sz w:val="24"/>
          <w:szCs w:val="24"/>
        </w:rPr>
        <w:t xml:space="preserve"> to the </w:t>
      </w:r>
      <w:r w:rsidR="00160C04">
        <w:rPr>
          <w:rFonts w:ascii="Arial" w:eastAsia="Times New Roman" w:hAnsi="Arial" w:cs="Arial"/>
          <w:sz w:val="24"/>
          <w:szCs w:val="24"/>
        </w:rPr>
        <w:t>Charter</w:t>
      </w:r>
      <w:r w:rsidR="00BB53F5" w:rsidRPr="00113C90">
        <w:rPr>
          <w:rFonts w:ascii="Arial" w:eastAsia="Times New Roman" w:hAnsi="Arial" w:cs="Arial"/>
          <w:sz w:val="24"/>
          <w:szCs w:val="24"/>
        </w:rPr>
        <w:t xml:space="preserve"> in the judgments </w:t>
      </w:r>
      <w:r w:rsidR="00802E93" w:rsidRPr="00113C90">
        <w:rPr>
          <w:rFonts w:ascii="Arial" w:eastAsia="Times New Roman" w:hAnsi="Arial" w:cs="Arial"/>
          <w:sz w:val="24"/>
          <w:szCs w:val="24"/>
        </w:rPr>
        <w:t xml:space="preserve">of the </w:t>
      </w:r>
      <w:r w:rsidR="0071169B">
        <w:rPr>
          <w:rFonts w:ascii="Arial" w:eastAsia="Times New Roman" w:hAnsi="Arial" w:cs="Arial"/>
          <w:sz w:val="24"/>
          <w:szCs w:val="24"/>
        </w:rPr>
        <w:t>Superior C</w:t>
      </w:r>
      <w:r w:rsidR="00802E93" w:rsidRPr="00113C90">
        <w:rPr>
          <w:rFonts w:ascii="Arial" w:eastAsia="Times New Roman" w:hAnsi="Arial" w:cs="Arial"/>
          <w:sz w:val="24"/>
          <w:szCs w:val="24"/>
        </w:rPr>
        <w:t>ourts</w:t>
      </w:r>
      <w:r w:rsidR="0071169B">
        <w:rPr>
          <w:rFonts w:ascii="Arial" w:eastAsia="Times New Roman" w:hAnsi="Arial" w:cs="Arial"/>
          <w:sz w:val="24"/>
          <w:szCs w:val="24"/>
        </w:rPr>
        <w:t xml:space="preserve">, since 2009, </w:t>
      </w:r>
      <w:r w:rsidR="00802E93" w:rsidRPr="00113C90">
        <w:rPr>
          <w:rFonts w:ascii="Arial" w:eastAsia="Times New Roman" w:hAnsi="Arial" w:cs="Arial"/>
          <w:sz w:val="24"/>
          <w:szCs w:val="24"/>
        </w:rPr>
        <w:t xml:space="preserve">as shown in the following Chart. </w:t>
      </w:r>
    </w:p>
    <w:p w14:paraId="5403EA3A" w14:textId="77777777" w:rsidR="00DD5FE2" w:rsidRPr="00113C90" w:rsidRDefault="00DD5FE2" w:rsidP="00113C90">
      <w:pPr>
        <w:spacing w:after="0" w:line="240" w:lineRule="auto"/>
        <w:rPr>
          <w:rFonts w:ascii="Arial" w:eastAsia="Times New Roman" w:hAnsi="Arial" w:cs="Arial"/>
          <w:sz w:val="24"/>
          <w:szCs w:val="24"/>
        </w:rPr>
      </w:pPr>
    </w:p>
    <w:p w14:paraId="5A4BC1C9" w14:textId="3AB28B09" w:rsidR="004725F2" w:rsidRPr="001F64EF" w:rsidRDefault="001F64EF" w:rsidP="001F64EF">
      <w:pPr>
        <w:widowControl w:val="0"/>
        <w:autoSpaceDE w:val="0"/>
        <w:autoSpaceDN w:val="0"/>
        <w:adjustRightInd w:val="0"/>
        <w:spacing w:after="0" w:line="240" w:lineRule="auto"/>
        <w:rPr>
          <w:rFonts w:ascii="Arial" w:eastAsia="Times New Roman" w:hAnsi="Arial" w:cs="Arial"/>
          <w:b/>
          <w:noProof/>
          <w:sz w:val="24"/>
          <w:szCs w:val="24"/>
          <w:lang w:val="en-US"/>
        </w:rPr>
      </w:pPr>
      <w:r w:rsidRPr="001F64EF">
        <w:rPr>
          <w:rFonts w:ascii="Arial" w:hAnsi="Arial" w:cs="Arial"/>
          <w:b/>
          <w:sz w:val="24"/>
          <w:szCs w:val="24"/>
          <w:lang w:val="en-US"/>
        </w:rPr>
        <w:t>References to the EU Charter of Fundamental Rights in Irish Superior Court judgments, 2005-2014</w:t>
      </w:r>
      <w:r w:rsidRPr="001F64EF">
        <w:rPr>
          <w:rStyle w:val="FootnoteReference"/>
          <w:rFonts w:ascii="Arial" w:eastAsia="Times New Roman" w:hAnsi="Arial" w:cs="Arial"/>
          <w:sz w:val="24"/>
          <w:szCs w:val="24"/>
        </w:rPr>
        <w:footnoteReference w:id="16"/>
      </w:r>
    </w:p>
    <w:p w14:paraId="275626B8" w14:textId="77777777" w:rsidR="004725F2" w:rsidRDefault="004725F2" w:rsidP="00113C90">
      <w:pPr>
        <w:spacing w:after="0" w:line="240" w:lineRule="auto"/>
        <w:rPr>
          <w:rFonts w:ascii="Arial" w:eastAsia="Times New Roman" w:hAnsi="Arial" w:cs="Arial"/>
          <w:noProof/>
          <w:sz w:val="24"/>
          <w:szCs w:val="24"/>
          <w:lang w:val="en-US"/>
        </w:rPr>
      </w:pPr>
    </w:p>
    <w:p w14:paraId="2F182D7F" w14:textId="51C10D1C" w:rsidR="004725F2" w:rsidRDefault="004725F2" w:rsidP="004725F2">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noProof/>
          <w:sz w:val="24"/>
          <w:szCs w:val="24"/>
          <w:lang w:val="en-US"/>
        </w:rPr>
      </w:pPr>
      <w:r>
        <w:rPr>
          <w:rFonts w:ascii="Arial" w:eastAsia="Times New Roman" w:hAnsi="Arial" w:cs="Arial"/>
          <w:noProof/>
          <w:sz w:val="24"/>
          <w:szCs w:val="24"/>
          <w:lang w:val="en-US"/>
        </w:rPr>
        <w:drawing>
          <wp:inline distT="0" distB="0" distL="0" distR="0" wp14:anchorId="254DE9B8" wp14:editId="5631DB90">
            <wp:extent cx="5721350" cy="2393950"/>
            <wp:effectExtent l="0" t="0" r="0" b="0"/>
            <wp:docPr id="2" name="Picture 2" descr="Macintosh HD:Users:padraickenna:Dropbox:Screenshots:Screenshot 2016-09-22 15.5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draickenna:Dropbox:Screenshots:Screenshot 2016-09-22 15.51.1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1350" cy="2393950"/>
                    </a:xfrm>
                    <a:prstGeom prst="rect">
                      <a:avLst/>
                    </a:prstGeom>
                    <a:noFill/>
                    <a:ln>
                      <a:noFill/>
                    </a:ln>
                  </pic:spPr>
                </pic:pic>
              </a:graphicData>
            </a:graphic>
          </wp:inline>
        </w:drawing>
      </w:r>
    </w:p>
    <w:p w14:paraId="4D963402" w14:textId="77777777" w:rsidR="004725F2" w:rsidRDefault="004725F2" w:rsidP="00113C90">
      <w:pPr>
        <w:spacing w:after="0" w:line="240" w:lineRule="auto"/>
        <w:rPr>
          <w:rFonts w:ascii="Arial" w:eastAsia="Times New Roman" w:hAnsi="Arial" w:cs="Arial"/>
          <w:noProof/>
          <w:sz w:val="24"/>
          <w:szCs w:val="24"/>
          <w:lang w:val="en-US"/>
        </w:rPr>
      </w:pPr>
    </w:p>
    <w:p w14:paraId="4EC44071" w14:textId="77F8934F" w:rsidR="0071169B" w:rsidRDefault="0071169B" w:rsidP="0071169B">
      <w:pPr>
        <w:spacing w:after="0" w:line="240" w:lineRule="auto"/>
        <w:rPr>
          <w:rFonts w:ascii="Arial" w:eastAsia="Times New Roman" w:hAnsi="Arial" w:cs="Arial"/>
          <w:sz w:val="24"/>
          <w:szCs w:val="24"/>
        </w:rPr>
      </w:pPr>
      <w:r w:rsidRPr="00113C90">
        <w:rPr>
          <w:rFonts w:ascii="Arial" w:hAnsi="Arial" w:cs="Arial"/>
          <w:sz w:val="24"/>
          <w:szCs w:val="24"/>
        </w:rPr>
        <w:t xml:space="preserve">Clearly, understanding the scope and application of the </w:t>
      </w:r>
      <w:r>
        <w:rPr>
          <w:rFonts w:ascii="Arial" w:hAnsi="Arial" w:cs="Arial"/>
          <w:sz w:val="24"/>
          <w:szCs w:val="24"/>
        </w:rPr>
        <w:t xml:space="preserve">Charter </w:t>
      </w:r>
      <w:r w:rsidRPr="00113C90">
        <w:rPr>
          <w:rFonts w:ascii="Arial" w:hAnsi="Arial" w:cs="Arial"/>
          <w:sz w:val="24"/>
          <w:szCs w:val="24"/>
        </w:rPr>
        <w:t xml:space="preserve">is a key area to be developed </w:t>
      </w:r>
      <w:r w:rsidR="00255E69">
        <w:rPr>
          <w:rFonts w:ascii="Arial" w:hAnsi="Arial" w:cs="Arial"/>
          <w:sz w:val="24"/>
          <w:szCs w:val="24"/>
        </w:rPr>
        <w:t xml:space="preserve">for integrating the </w:t>
      </w:r>
      <w:r>
        <w:rPr>
          <w:rFonts w:ascii="Arial" w:hAnsi="Arial" w:cs="Arial"/>
          <w:sz w:val="24"/>
          <w:szCs w:val="24"/>
        </w:rPr>
        <w:t>Charter</w:t>
      </w:r>
      <w:r w:rsidRPr="00113C90">
        <w:rPr>
          <w:rFonts w:ascii="Arial" w:hAnsi="Arial" w:cs="Arial"/>
          <w:sz w:val="24"/>
          <w:szCs w:val="24"/>
        </w:rPr>
        <w:t xml:space="preserve"> </w:t>
      </w:r>
      <w:r w:rsidR="00255E69">
        <w:rPr>
          <w:rFonts w:ascii="Arial" w:hAnsi="Arial" w:cs="Arial"/>
          <w:sz w:val="24"/>
          <w:szCs w:val="24"/>
        </w:rPr>
        <w:t xml:space="preserve">into Irish law. </w:t>
      </w:r>
    </w:p>
    <w:p w14:paraId="467103E5" w14:textId="77777777" w:rsidR="00F552D8" w:rsidRDefault="00F552D8" w:rsidP="00113C90">
      <w:pPr>
        <w:spacing w:after="0" w:line="240" w:lineRule="auto"/>
        <w:rPr>
          <w:rFonts w:ascii="Arial" w:hAnsi="Arial" w:cs="Arial"/>
          <w:sz w:val="24"/>
          <w:szCs w:val="24"/>
        </w:rPr>
      </w:pPr>
    </w:p>
    <w:p w14:paraId="5AD58563" w14:textId="7E39D8D0" w:rsidR="00B7258E" w:rsidRPr="00113C90" w:rsidRDefault="00B7258E" w:rsidP="00113C90">
      <w:pPr>
        <w:spacing w:after="0" w:line="240" w:lineRule="auto"/>
        <w:rPr>
          <w:rFonts w:ascii="Arial" w:hAnsi="Arial" w:cs="Arial"/>
          <w:sz w:val="24"/>
          <w:szCs w:val="24"/>
        </w:rPr>
      </w:pPr>
      <w:r w:rsidRPr="00113C90">
        <w:rPr>
          <w:rFonts w:ascii="Arial" w:hAnsi="Arial" w:cs="Arial"/>
          <w:sz w:val="24"/>
          <w:szCs w:val="24"/>
        </w:rPr>
        <w:br w:type="page"/>
      </w:r>
    </w:p>
    <w:p w14:paraId="6F9DBB69" w14:textId="3566B4F1" w:rsidR="00B7258E" w:rsidRPr="00D509CB" w:rsidRDefault="00D509CB" w:rsidP="00113C90">
      <w:pPr>
        <w:spacing w:after="0" w:line="240" w:lineRule="auto"/>
        <w:rPr>
          <w:rFonts w:ascii="Arial" w:hAnsi="Arial" w:cs="Arial"/>
          <w:b/>
          <w:sz w:val="28"/>
          <w:szCs w:val="28"/>
        </w:rPr>
      </w:pPr>
      <w:r w:rsidRPr="00D509CB">
        <w:rPr>
          <w:rFonts w:ascii="Arial" w:hAnsi="Arial" w:cs="Arial"/>
          <w:b/>
          <w:sz w:val="28"/>
          <w:szCs w:val="28"/>
        </w:rPr>
        <w:lastRenderedPageBreak/>
        <w:t xml:space="preserve">3. </w:t>
      </w:r>
      <w:r w:rsidR="00282D54" w:rsidRPr="00D509CB">
        <w:rPr>
          <w:rFonts w:ascii="Arial" w:hAnsi="Arial" w:cs="Arial"/>
          <w:b/>
          <w:sz w:val="28"/>
          <w:szCs w:val="28"/>
        </w:rPr>
        <w:t xml:space="preserve">The </w:t>
      </w:r>
      <w:r w:rsidR="00B7258E" w:rsidRPr="00D509CB">
        <w:rPr>
          <w:rFonts w:ascii="Arial" w:hAnsi="Arial" w:cs="Arial"/>
          <w:b/>
          <w:sz w:val="28"/>
          <w:szCs w:val="28"/>
        </w:rPr>
        <w:t xml:space="preserve">Application and </w:t>
      </w:r>
      <w:r w:rsidR="00113C90" w:rsidRPr="00D509CB">
        <w:rPr>
          <w:rFonts w:ascii="Arial" w:hAnsi="Arial" w:cs="Arial"/>
          <w:b/>
          <w:sz w:val="28"/>
          <w:szCs w:val="28"/>
        </w:rPr>
        <w:t>S</w:t>
      </w:r>
      <w:r w:rsidR="00B7258E" w:rsidRPr="00D509CB">
        <w:rPr>
          <w:rFonts w:ascii="Arial" w:hAnsi="Arial" w:cs="Arial"/>
          <w:b/>
          <w:sz w:val="28"/>
          <w:szCs w:val="28"/>
        </w:rPr>
        <w:t xml:space="preserve">cope of the </w:t>
      </w:r>
      <w:r w:rsidR="00160C04" w:rsidRPr="00D509CB">
        <w:rPr>
          <w:rFonts w:ascii="Arial" w:hAnsi="Arial" w:cs="Arial"/>
          <w:b/>
          <w:sz w:val="28"/>
          <w:szCs w:val="28"/>
        </w:rPr>
        <w:t>Charter</w:t>
      </w:r>
    </w:p>
    <w:p w14:paraId="38A0A588" w14:textId="77777777" w:rsidR="00113C90" w:rsidRPr="00113C90" w:rsidRDefault="00113C90" w:rsidP="00113C90">
      <w:pPr>
        <w:spacing w:after="0" w:line="240" w:lineRule="auto"/>
        <w:rPr>
          <w:rFonts w:ascii="Arial" w:hAnsi="Arial" w:cs="Arial"/>
          <w:b/>
          <w:sz w:val="24"/>
          <w:szCs w:val="24"/>
        </w:rPr>
      </w:pPr>
    </w:p>
    <w:p w14:paraId="0F636591" w14:textId="66051B82" w:rsidR="008836DA" w:rsidRPr="008836DA" w:rsidRDefault="008836DA" w:rsidP="008836DA">
      <w:pPr>
        <w:pStyle w:val="ListParagraph"/>
        <w:numPr>
          <w:ilvl w:val="0"/>
          <w:numId w:val="14"/>
        </w:numPr>
        <w:tabs>
          <w:tab w:val="num" w:pos="540"/>
        </w:tabs>
        <w:spacing w:after="0" w:line="240" w:lineRule="auto"/>
        <w:rPr>
          <w:rFonts w:ascii="Arial" w:eastAsia="Times New Roman" w:hAnsi="Arial" w:cs="Arial"/>
          <w:b/>
          <w:sz w:val="24"/>
          <w:szCs w:val="24"/>
        </w:rPr>
      </w:pPr>
      <w:r w:rsidRPr="008836DA">
        <w:rPr>
          <w:rFonts w:ascii="Arial" w:eastAsia="Times New Roman" w:hAnsi="Arial" w:cs="Arial"/>
          <w:b/>
          <w:sz w:val="24"/>
          <w:szCs w:val="24"/>
        </w:rPr>
        <w:t xml:space="preserve">Overview </w:t>
      </w:r>
    </w:p>
    <w:p w14:paraId="13F2AA6F" w14:textId="77777777" w:rsidR="008836DA" w:rsidRDefault="008836DA" w:rsidP="008836DA">
      <w:pPr>
        <w:tabs>
          <w:tab w:val="num" w:pos="540"/>
        </w:tabs>
        <w:spacing w:after="0" w:line="240" w:lineRule="auto"/>
        <w:rPr>
          <w:rFonts w:ascii="Arial" w:eastAsia="Times New Roman" w:hAnsi="Arial" w:cs="Arial"/>
          <w:sz w:val="24"/>
          <w:szCs w:val="24"/>
        </w:rPr>
      </w:pPr>
    </w:p>
    <w:p w14:paraId="061F609D" w14:textId="2AD7E7C3" w:rsidR="00165F8C" w:rsidRPr="008836DA" w:rsidRDefault="00165F8C" w:rsidP="008836DA">
      <w:pPr>
        <w:tabs>
          <w:tab w:val="num" w:pos="540"/>
        </w:tabs>
        <w:spacing w:after="0" w:line="240" w:lineRule="auto"/>
        <w:rPr>
          <w:rFonts w:ascii="Arial" w:hAnsi="Arial" w:cs="Arial"/>
          <w:b/>
          <w:sz w:val="24"/>
          <w:szCs w:val="24"/>
        </w:rPr>
      </w:pPr>
      <w:r w:rsidRPr="008836DA">
        <w:rPr>
          <w:rFonts w:ascii="Arial" w:eastAsia="Times New Roman" w:hAnsi="Arial" w:cs="Arial"/>
          <w:sz w:val="24"/>
          <w:szCs w:val="24"/>
        </w:rPr>
        <w:t xml:space="preserve">The EU </w:t>
      </w:r>
      <w:r w:rsidR="00EE4BAE" w:rsidRPr="008836DA">
        <w:rPr>
          <w:rFonts w:ascii="Arial" w:eastAsia="Times New Roman" w:hAnsi="Arial" w:cs="Arial"/>
          <w:sz w:val="24"/>
          <w:szCs w:val="24"/>
        </w:rPr>
        <w:t xml:space="preserve">Charter </w:t>
      </w:r>
      <w:r w:rsidR="00160C04" w:rsidRPr="008836DA">
        <w:rPr>
          <w:rFonts w:ascii="Arial" w:eastAsia="Times New Roman" w:hAnsi="Arial" w:cs="Arial"/>
          <w:sz w:val="24"/>
          <w:szCs w:val="24"/>
        </w:rPr>
        <w:t xml:space="preserve">of Fundamental Rights </w:t>
      </w:r>
      <w:r w:rsidRPr="008836DA">
        <w:rPr>
          <w:rFonts w:ascii="Arial" w:eastAsia="Times New Roman" w:hAnsi="Arial" w:cs="Arial"/>
          <w:sz w:val="24"/>
          <w:szCs w:val="24"/>
        </w:rPr>
        <w:t xml:space="preserve">was given </w:t>
      </w:r>
      <w:r w:rsidR="007F558E" w:rsidRPr="008836DA">
        <w:rPr>
          <w:rFonts w:ascii="Arial" w:eastAsia="Times New Roman" w:hAnsi="Arial" w:cs="Arial"/>
          <w:sz w:val="24"/>
          <w:szCs w:val="24"/>
        </w:rPr>
        <w:t>“the same legal value as the Treaties”</w:t>
      </w:r>
      <w:r w:rsidR="00DB32DA" w:rsidRPr="008836DA">
        <w:rPr>
          <w:rFonts w:ascii="Arial" w:eastAsia="Times New Roman" w:hAnsi="Arial" w:cs="Arial"/>
          <w:sz w:val="24"/>
          <w:szCs w:val="24"/>
        </w:rPr>
        <w:t xml:space="preserve"> in Article 6 TEU.</w:t>
      </w:r>
      <w:r w:rsidR="007F558E" w:rsidRPr="00C56AF9">
        <w:rPr>
          <w:rFonts w:ascii="Arial" w:hAnsi="Arial" w:cs="Arial"/>
          <w:sz w:val="24"/>
          <w:szCs w:val="24"/>
          <w:vertAlign w:val="superscript"/>
        </w:rPr>
        <w:footnoteReference w:id="17"/>
      </w:r>
      <w:r w:rsidR="007F558E" w:rsidRPr="008836DA">
        <w:rPr>
          <w:rFonts w:ascii="Arial" w:eastAsia="Times New Roman" w:hAnsi="Arial" w:cs="Arial"/>
          <w:sz w:val="24"/>
          <w:szCs w:val="24"/>
          <w:vertAlign w:val="superscript"/>
        </w:rPr>
        <w:t xml:space="preserve">  </w:t>
      </w:r>
      <w:r w:rsidR="002A1230" w:rsidRPr="008836DA">
        <w:rPr>
          <w:rFonts w:ascii="Arial" w:eastAsia="Times New Roman" w:hAnsi="Arial" w:cs="Arial"/>
          <w:sz w:val="24"/>
          <w:szCs w:val="24"/>
          <w:lang w:val="en-GB"/>
        </w:rPr>
        <w:t xml:space="preserve">This gives </w:t>
      </w:r>
      <w:r w:rsidRPr="008836DA">
        <w:rPr>
          <w:rFonts w:ascii="Arial" w:eastAsia="Times New Roman" w:hAnsi="Arial" w:cs="Arial"/>
          <w:sz w:val="24"/>
          <w:szCs w:val="24"/>
          <w:lang w:val="en-GB"/>
        </w:rPr>
        <w:t xml:space="preserve">the </w:t>
      </w:r>
      <w:r w:rsidR="00160C04" w:rsidRPr="008836DA">
        <w:rPr>
          <w:rFonts w:ascii="Arial" w:eastAsia="Times New Roman" w:hAnsi="Arial" w:cs="Arial"/>
          <w:sz w:val="24"/>
          <w:szCs w:val="24"/>
          <w:lang w:val="en-GB"/>
        </w:rPr>
        <w:t>Charter</w:t>
      </w:r>
      <w:r w:rsidRPr="008836DA">
        <w:rPr>
          <w:rFonts w:ascii="Arial" w:eastAsia="Times New Roman" w:hAnsi="Arial" w:cs="Arial"/>
          <w:sz w:val="24"/>
          <w:szCs w:val="24"/>
          <w:lang w:val="en-GB"/>
        </w:rPr>
        <w:t xml:space="preserve"> </w:t>
      </w:r>
      <w:r w:rsidR="002A1230" w:rsidRPr="008836DA">
        <w:rPr>
          <w:rFonts w:ascii="Arial" w:eastAsia="Times New Roman" w:hAnsi="Arial" w:cs="Arial"/>
          <w:sz w:val="24"/>
          <w:szCs w:val="24"/>
          <w:lang w:val="en-GB"/>
        </w:rPr>
        <w:t>a higher normative status than EU legislation and national laws implementing EU law.</w:t>
      </w:r>
      <w:r w:rsidR="00EE4BAE">
        <w:rPr>
          <w:rStyle w:val="FootnoteReference"/>
          <w:rFonts w:ascii="Arial" w:eastAsia="Times New Roman" w:hAnsi="Arial" w:cs="Arial"/>
          <w:sz w:val="24"/>
          <w:szCs w:val="24"/>
        </w:rPr>
        <w:footnoteReference w:id="18"/>
      </w:r>
      <w:r w:rsidR="002A1230" w:rsidRPr="008836DA">
        <w:rPr>
          <w:rFonts w:ascii="Arial" w:eastAsia="Times New Roman" w:hAnsi="Arial" w:cs="Arial"/>
          <w:sz w:val="24"/>
          <w:szCs w:val="24"/>
          <w:lang w:val="en-GB"/>
        </w:rPr>
        <w:t xml:space="preserve"> </w:t>
      </w:r>
      <w:r w:rsidR="00EE4BAE" w:rsidRPr="008836DA">
        <w:rPr>
          <w:rFonts w:ascii="Arial" w:eastAsia="Times New Roman" w:hAnsi="Arial" w:cs="Arial"/>
          <w:sz w:val="24"/>
          <w:szCs w:val="24"/>
          <w:lang w:val="en-GB"/>
        </w:rPr>
        <w:t>It operates within the base of EU law,</w:t>
      </w:r>
      <w:r w:rsidR="00EE4BAE" w:rsidRPr="00113C90">
        <w:rPr>
          <w:rStyle w:val="FootnoteReference"/>
          <w:rFonts w:ascii="Arial" w:eastAsia="Times New Roman" w:hAnsi="Arial" w:cs="Arial"/>
          <w:sz w:val="24"/>
          <w:szCs w:val="24"/>
        </w:rPr>
        <w:footnoteReference w:id="19"/>
      </w:r>
      <w:r w:rsidR="00EE4BAE" w:rsidRPr="008836DA">
        <w:rPr>
          <w:rFonts w:ascii="Arial" w:eastAsia="Times New Roman" w:hAnsi="Arial" w:cs="Arial"/>
          <w:sz w:val="24"/>
          <w:szCs w:val="24"/>
          <w:lang w:val="en-GB"/>
        </w:rPr>
        <w:t xml:space="preserve"> but, significantly, it </w:t>
      </w:r>
      <w:r w:rsidRPr="008836DA">
        <w:rPr>
          <w:rFonts w:ascii="Arial" w:hAnsi="Arial" w:cs="Arial"/>
          <w:sz w:val="24"/>
          <w:szCs w:val="24"/>
        </w:rPr>
        <w:t xml:space="preserve">brings together in a single document </w:t>
      </w:r>
      <w:r w:rsidR="00EE4BAE" w:rsidRPr="008836DA">
        <w:rPr>
          <w:rFonts w:ascii="Arial" w:eastAsia="Times New Roman" w:hAnsi="Arial" w:cs="Arial"/>
          <w:sz w:val="24"/>
          <w:szCs w:val="24"/>
        </w:rPr>
        <w:t xml:space="preserve">all the rights found in the case law of the CJEU; the rights and freedoms enshrined in the ECHR; other rights and principles resulting from the common constitutional traditions of EU countries and other international (including Council of Europe and UN instruments). </w:t>
      </w:r>
      <w:r w:rsidR="00EE4BAE" w:rsidRPr="008836DA">
        <w:rPr>
          <w:rFonts w:ascii="Arial" w:hAnsi="Arial" w:cs="Arial"/>
          <w:sz w:val="24"/>
          <w:szCs w:val="24"/>
        </w:rPr>
        <w:t xml:space="preserve">The Charter </w:t>
      </w:r>
      <w:r w:rsidRPr="008836DA">
        <w:rPr>
          <w:rFonts w:ascii="Arial" w:hAnsi="Arial" w:cs="Arial"/>
          <w:sz w:val="24"/>
          <w:szCs w:val="24"/>
        </w:rPr>
        <w:t>contains rights and freedoms under six titles: Dignity, Freedoms, Equality, Solidarity, Citizens' Rights, and Justice.</w:t>
      </w:r>
      <w:r w:rsidR="00EE4BAE">
        <w:rPr>
          <w:rStyle w:val="FootnoteReference"/>
          <w:rFonts w:ascii="Arial" w:hAnsi="Arial" w:cs="Arial"/>
          <w:sz w:val="24"/>
          <w:szCs w:val="24"/>
        </w:rPr>
        <w:footnoteReference w:id="20"/>
      </w:r>
      <w:r w:rsidRPr="008836DA">
        <w:rPr>
          <w:rFonts w:ascii="Arial" w:hAnsi="Arial" w:cs="Arial"/>
          <w:sz w:val="24"/>
          <w:szCs w:val="24"/>
        </w:rPr>
        <w:t xml:space="preserve"> </w:t>
      </w:r>
      <w:r w:rsidRPr="008836DA">
        <w:rPr>
          <w:rFonts w:ascii="Arial" w:eastAsia="Times New Roman" w:hAnsi="Arial" w:cs="Arial"/>
          <w:sz w:val="24"/>
          <w:szCs w:val="24"/>
        </w:rPr>
        <w:t xml:space="preserve">The </w:t>
      </w:r>
      <w:r w:rsidR="00160C04" w:rsidRPr="008836DA">
        <w:rPr>
          <w:rFonts w:ascii="Arial" w:eastAsia="Times New Roman" w:hAnsi="Arial" w:cs="Arial"/>
          <w:sz w:val="24"/>
          <w:szCs w:val="24"/>
        </w:rPr>
        <w:t xml:space="preserve">Charter </w:t>
      </w:r>
      <w:r w:rsidRPr="008836DA">
        <w:rPr>
          <w:rFonts w:ascii="Arial" w:hAnsi="Arial" w:cs="Arial"/>
          <w:sz w:val="24"/>
          <w:szCs w:val="24"/>
        </w:rPr>
        <w:t>is consistent with the European Convention on Human Rights of the Council of Europe</w:t>
      </w:r>
      <w:r w:rsidR="00C561A8" w:rsidRPr="008836DA">
        <w:rPr>
          <w:rFonts w:ascii="Arial" w:hAnsi="Arial" w:cs="Arial"/>
          <w:sz w:val="24"/>
          <w:szCs w:val="24"/>
        </w:rPr>
        <w:t>, and</w:t>
      </w:r>
      <w:r w:rsidRPr="008836DA">
        <w:rPr>
          <w:rFonts w:ascii="Arial" w:hAnsi="Arial" w:cs="Arial"/>
          <w:sz w:val="24"/>
          <w:szCs w:val="24"/>
        </w:rPr>
        <w:t xml:space="preserve"> </w:t>
      </w:r>
      <w:r w:rsidR="00DB32DA" w:rsidRPr="008836DA">
        <w:rPr>
          <w:rStyle w:val="Strong"/>
          <w:rFonts w:ascii="Arial" w:hAnsi="Arial" w:cs="Arial"/>
          <w:b w:val="0"/>
          <w:sz w:val="24"/>
          <w:szCs w:val="24"/>
        </w:rPr>
        <w:t xml:space="preserve">when it </w:t>
      </w:r>
      <w:r w:rsidRPr="008836DA">
        <w:rPr>
          <w:rStyle w:val="Strong"/>
          <w:rFonts w:ascii="Arial" w:hAnsi="Arial" w:cs="Arial"/>
          <w:b w:val="0"/>
          <w:sz w:val="24"/>
          <w:szCs w:val="24"/>
        </w:rPr>
        <w:t>contains rights that stem from this Convention, their meaning and scope are the same</w:t>
      </w:r>
      <w:r w:rsidRPr="008836DA">
        <w:rPr>
          <w:rFonts w:ascii="Arial" w:hAnsi="Arial" w:cs="Arial"/>
          <w:b/>
          <w:sz w:val="24"/>
          <w:szCs w:val="24"/>
        </w:rPr>
        <w:t>.</w:t>
      </w:r>
    </w:p>
    <w:p w14:paraId="36B672B5" w14:textId="77777777" w:rsidR="003D2CCC" w:rsidRDefault="003D2CCC" w:rsidP="003D2C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4"/>
          <w:szCs w:val="24"/>
        </w:rPr>
      </w:pPr>
    </w:p>
    <w:p w14:paraId="54A12D66" w14:textId="77777777" w:rsidR="003D2CCC" w:rsidRDefault="003D2CCC" w:rsidP="003D2C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4"/>
          <w:szCs w:val="24"/>
        </w:rPr>
      </w:pPr>
      <w:r w:rsidRPr="00113C90">
        <w:rPr>
          <w:rFonts w:ascii="Arial" w:hAnsi="Arial" w:cs="Arial"/>
          <w:sz w:val="24"/>
          <w:szCs w:val="24"/>
        </w:rPr>
        <w:t xml:space="preserve">Article 51(1) of the </w:t>
      </w:r>
      <w:r>
        <w:rPr>
          <w:rFonts w:ascii="Arial" w:hAnsi="Arial" w:cs="Arial"/>
          <w:sz w:val="24"/>
          <w:szCs w:val="24"/>
        </w:rPr>
        <w:t>Charter</w:t>
      </w:r>
      <w:r w:rsidRPr="00113C90">
        <w:rPr>
          <w:rFonts w:ascii="Arial" w:hAnsi="Arial" w:cs="Arial"/>
          <w:sz w:val="24"/>
          <w:szCs w:val="24"/>
        </w:rPr>
        <w:t xml:space="preserve"> stipulates that:</w:t>
      </w:r>
    </w:p>
    <w:p w14:paraId="4657851C" w14:textId="77777777" w:rsidR="003D2CCC" w:rsidRPr="00113C90" w:rsidRDefault="003D2CCC" w:rsidP="003D2C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4"/>
          <w:szCs w:val="24"/>
        </w:rPr>
      </w:pPr>
    </w:p>
    <w:p w14:paraId="6899A6D9" w14:textId="77777777" w:rsidR="0005507F" w:rsidRDefault="003D2CCC" w:rsidP="000550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rPr>
          <w:rFonts w:ascii="Arial" w:hAnsi="Arial" w:cs="Arial"/>
        </w:rPr>
      </w:pPr>
      <w:r w:rsidRPr="00113C90">
        <w:rPr>
          <w:rFonts w:ascii="Arial" w:hAnsi="Arial" w:cs="Arial"/>
        </w:rPr>
        <w:t xml:space="preserve">The provisions of this </w:t>
      </w:r>
      <w:r>
        <w:rPr>
          <w:rFonts w:ascii="Arial" w:hAnsi="Arial" w:cs="Arial"/>
        </w:rPr>
        <w:t>Charter</w:t>
      </w:r>
      <w:r w:rsidRPr="00113C90">
        <w:rPr>
          <w:rFonts w:ascii="Arial" w:hAnsi="Arial" w:cs="Arial"/>
        </w:rPr>
        <w:t xml:space="preserve"> are addressed to the institutions, bodies, offices and agencies of the Union with due regard for the principle of subsidiarity and to the Member States only when they are implementing Union law. They shall therefore respect the rights, observe the principles and promote the application thereof in accordance with their respective powers and respecting the limits of the powers of the Union as conferred on it in the Treaties. </w:t>
      </w:r>
    </w:p>
    <w:p w14:paraId="77BB264A" w14:textId="77777777" w:rsidR="00B537B1" w:rsidRDefault="00B537B1" w:rsidP="000550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themeColor="text1"/>
          <w:sz w:val="24"/>
          <w:szCs w:val="24"/>
          <w:lang w:val="en-GB"/>
        </w:rPr>
      </w:pPr>
    </w:p>
    <w:p w14:paraId="271B5A64" w14:textId="4157E8FD" w:rsidR="003D2CCC" w:rsidRDefault="003D2CCC" w:rsidP="000550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Cs/>
          <w:color w:val="000000" w:themeColor="text1"/>
          <w:sz w:val="24"/>
          <w:szCs w:val="24"/>
        </w:rPr>
      </w:pPr>
      <w:r w:rsidRPr="0005507F">
        <w:rPr>
          <w:rFonts w:ascii="Arial" w:hAnsi="Arial" w:cs="Arial"/>
          <w:color w:val="000000" w:themeColor="text1"/>
          <w:sz w:val="24"/>
          <w:szCs w:val="24"/>
          <w:lang w:val="en-GB"/>
        </w:rPr>
        <w:t xml:space="preserve">Article 51 states that the Charter is binding on (i) the institutions, bodies, agencies </w:t>
      </w:r>
      <w:r w:rsidRPr="0005507F">
        <w:rPr>
          <w:rFonts w:ascii="Arial" w:hAnsi="Arial" w:cs="Arial"/>
          <w:color w:val="000000" w:themeColor="text1"/>
          <w:sz w:val="24"/>
          <w:szCs w:val="24"/>
          <w:lang w:val="en-GB"/>
        </w:rPr>
        <w:lastRenderedPageBreak/>
        <w:t>and offices of the EU</w:t>
      </w:r>
      <w:r w:rsidR="00C56AF9">
        <w:rPr>
          <w:rStyle w:val="FootnoteReference"/>
          <w:rFonts w:ascii="Arial" w:hAnsi="Arial" w:cs="Arial"/>
          <w:color w:val="000000" w:themeColor="text1"/>
          <w:sz w:val="24"/>
          <w:szCs w:val="24"/>
          <w:lang w:val="en-GB"/>
        </w:rPr>
        <w:footnoteReference w:id="21"/>
      </w:r>
      <w:r w:rsidRPr="0005507F">
        <w:rPr>
          <w:rFonts w:ascii="Arial" w:hAnsi="Arial" w:cs="Arial"/>
          <w:color w:val="000000" w:themeColor="text1"/>
          <w:sz w:val="24"/>
          <w:szCs w:val="24"/>
          <w:lang w:val="en-GB"/>
        </w:rPr>
        <w:t xml:space="preserve">, and (ii) Member States when they are </w:t>
      </w:r>
      <w:r w:rsidRPr="005465CC">
        <w:rPr>
          <w:rFonts w:ascii="Arial" w:hAnsi="Arial" w:cs="Arial"/>
          <w:b/>
          <w:color w:val="000000" w:themeColor="text1"/>
          <w:sz w:val="24"/>
          <w:szCs w:val="24"/>
          <w:lang w:val="en-GB"/>
        </w:rPr>
        <w:t>implementing</w:t>
      </w:r>
      <w:r w:rsidRPr="0005507F">
        <w:rPr>
          <w:rFonts w:ascii="Arial" w:hAnsi="Arial" w:cs="Arial"/>
          <w:color w:val="000000" w:themeColor="text1"/>
          <w:sz w:val="24"/>
          <w:szCs w:val="24"/>
          <w:lang w:val="en-GB"/>
        </w:rPr>
        <w:t xml:space="preserve"> EU law, although the term “</w:t>
      </w:r>
      <w:r w:rsidRPr="005465CC">
        <w:rPr>
          <w:rFonts w:ascii="Arial" w:hAnsi="Arial" w:cs="Arial"/>
          <w:b/>
          <w:color w:val="000000" w:themeColor="text1"/>
          <w:sz w:val="24"/>
          <w:szCs w:val="24"/>
          <w:lang w:val="en-GB"/>
        </w:rPr>
        <w:t>acting in the scope of EU law</w:t>
      </w:r>
      <w:r w:rsidRPr="0005507F">
        <w:rPr>
          <w:rFonts w:ascii="Arial" w:hAnsi="Arial" w:cs="Arial"/>
          <w:color w:val="000000" w:themeColor="text1"/>
          <w:sz w:val="24"/>
          <w:szCs w:val="24"/>
          <w:lang w:val="en-GB"/>
        </w:rPr>
        <w:t xml:space="preserve">” is used in the </w:t>
      </w:r>
      <w:r w:rsidR="00871ECA">
        <w:rPr>
          <w:rFonts w:ascii="Arial" w:hAnsi="Arial" w:cs="Arial"/>
          <w:i/>
          <w:color w:val="000000" w:themeColor="text1"/>
          <w:sz w:val="24"/>
          <w:szCs w:val="24"/>
          <w:lang w:val="en-GB"/>
        </w:rPr>
        <w:t>Explanations</w:t>
      </w:r>
      <w:r w:rsidRPr="0005507F">
        <w:rPr>
          <w:rFonts w:ascii="Arial" w:hAnsi="Arial" w:cs="Arial"/>
          <w:color w:val="000000" w:themeColor="text1"/>
          <w:sz w:val="24"/>
          <w:szCs w:val="24"/>
          <w:lang w:val="en-GB"/>
        </w:rPr>
        <w:t xml:space="preserve"> on Article 51.</w:t>
      </w:r>
      <w:r w:rsidRPr="0005507F">
        <w:rPr>
          <w:rStyle w:val="FootnoteReference"/>
          <w:rFonts w:ascii="Arial" w:hAnsi="Arial" w:cs="Arial"/>
          <w:color w:val="000000" w:themeColor="text1"/>
          <w:sz w:val="24"/>
          <w:szCs w:val="24"/>
          <w:lang w:val="en-GB"/>
        </w:rPr>
        <w:footnoteReference w:id="22"/>
      </w:r>
      <w:r w:rsidRPr="0005507F">
        <w:rPr>
          <w:rFonts w:ascii="Arial" w:eastAsiaTheme="minorEastAsia" w:hAnsi="Arial" w:cs="Arial"/>
          <w:color w:val="000000" w:themeColor="text1"/>
          <w:sz w:val="24"/>
          <w:szCs w:val="24"/>
          <w:lang w:val="en-US" w:eastAsia="ja-JP"/>
        </w:rPr>
        <w:t xml:space="preserve"> </w:t>
      </w:r>
      <w:r w:rsidR="0005507F" w:rsidRPr="0005507F">
        <w:rPr>
          <w:rFonts w:ascii="Arial" w:eastAsiaTheme="minorEastAsia" w:hAnsi="Arial" w:cs="Arial"/>
          <w:color w:val="000000" w:themeColor="text1"/>
          <w:sz w:val="24"/>
          <w:szCs w:val="24"/>
          <w:lang w:val="en-US" w:eastAsia="ja-JP"/>
        </w:rPr>
        <w:t>Of course, the converse is also that w</w:t>
      </w:r>
      <w:r w:rsidR="0005507F" w:rsidRPr="0005507F">
        <w:rPr>
          <w:rFonts w:ascii="Arial" w:hAnsi="Arial" w:cs="Arial"/>
          <w:bCs/>
          <w:color w:val="000000" w:themeColor="text1"/>
          <w:sz w:val="24"/>
          <w:szCs w:val="24"/>
        </w:rPr>
        <w:t xml:space="preserve">here a legal situation does not fall within the scope of Union law, the Court has no jurisdiction to rule on it and any Charter provisions relied upon cannot, </w:t>
      </w:r>
      <w:r w:rsidR="0022504E">
        <w:rPr>
          <w:rFonts w:ascii="Arial" w:hAnsi="Arial" w:cs="Arial"/>
          <w:bCs/>
          <w:color w:val="000000" w:themeColor="text1"/>
          <w:sz w:val="24"/>
          <w:szCs w:val="24"/>
        </w:rPr>
        <w:t>in itself</w:t>
      </w:r>
      <w:r w:rsidR="0005507F" w:rsidRPr="0005507F">
        <w:rPr>
          <w:rFonts w:ascii="Arial" w:hAnsi="Arial" w:cs="Arial"/>
          <w:bCs/>
          <w:color w:val="000000" w:themeColor="text1"/>
          <w:sz w:val="24"/>
          <w:szCs w:val="24"/>
        </w:rPr>
        <w:t>, form the basis for such jurisdiction.</w:t>
      </w:r>
      <w:r w:rsidR="0005507F" w:rsidRPr="0005507F">
        <w:rPr>
          <w:rStyle w:val="FootnoteReference"/>
          <w:rFonts w:ascii="Arial" w:hAnsi="Arial" w:cs="Arial"/>
          <w:bCs/>
          <w:color w:val="000000" w:themeColor="text1"/>
          <w:sz w:val="24"/>
          <w:szCs w:val="24"/>
        </w:rPr>
        <w:footnoteReference w:id="23"/>
      </w:r>
      <w:r w:rsidR="0005507F" w:rsidRPr="0005507F">
        <w:rPr>
          <w:rFonts w:ascii="Arial" w:hAnsi="Arial" w:cs="Arial"/>
          <w:bCs/>
          <w:color w:val="000000" w:themeColor="text1"/>
          <w:sz w:val="24"/>
          <w:szCs w:val="24"/>
        </w:rPr>
        <w:t xml:space="preserve"> </w:t>
      </w:r>
    </w:p>
    <w:p w14:paraId="2155B181" w14:textId="77777777" w:rsidR="003D2CCC" w:rsidRDefault="003D2CCC" w:rsidP="003D2C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4"/>
          <w:szCs w:val="24"/>
        </w:rPr>
      </w:pPr>
    </w:p>
    <w:p w14:paraId="262444AB" w14:textId="77777777" w:rsidR="0005507F" w:rsidRDefault="003D2CCC" w:rsidP="000506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4"/>
          <w:szCs w:val="24"/>
        </w:rPr>
      </w:pPr>
      <w:r w:rsidRPr="00113C90">
        <w:rPr>
          <w:rFonts w:ascii="Arial" w:hAnsi="Arial" w:cs="Arial"/>
          <w:sz w:val="24"/>
          <w:szCs w:val="24"/>
        </w:rPr>
        <w:t xml:space="preserve">Article 51(2) points out that the </w:t>
      </w:r>
      <w:r>
        <w:rPr>
          <w:rFonts w:ascii="Arial" w:hAnsi="Arial" w:cs="Arial"/>
          <w:sz w:val="24"/>
          <w:szCs w:val="24"/>
        </w:rPr>
        <w:t>Charter</w:t>
      </w:r>
      <w:r w:rsidRPr="00113C90">
        <w:rPr>
          <w:rFonts w:ascii="Arial" w:hAnsi="Arial" w:cs="Arial"/>
          <w:sz w:val="24"/>
          <w:szCs w:val="24"/>
        </w:rPr>
        <w:t xml:space="preserve"> does not extend the field of application of Union law beyond the powers of the Union or establish any new power or task for the Union, or modify powers and tasks as defined in the Treaties. </w:t>
      </w:r>
    </w:p>
    <w:p w14:paraId="20B2A05B" w14:textId="77777777" w:rsidR="0005507F" w:rsidRDefault="0005507F" w:rsidP="000506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4"/>
          <w:szCs w:val="24"/>
        </w:rPr>
      </w:pPr>
    </w:p>
    <w:p w14:paraId="7962C5F5" w14:textId="2B55BCB1" w:rsidR="008A6924" w:rsidRDefault="003D2CCC" w:rsidP="000506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4"/>
          <w:szCs w:val="24"/>
          <w:lang w:val="en-US"/>
        </w:rPr>
      </w:pPr>
      <w:r w:rsidRPr="00113C90">
        <w:rPr>
          <w:rFonts w:ascii="Arial" w:hAnsi="Arial" w:cs="Arial"/>
          <w:sz w:val="24"/>
          <w:szCs w:val="24"/>
        </w:rPr>
        <w:t xml:space="preserve">Essentially, the </w:t>
      </w:r>
      <w:r>
        <w:rPr>
          <w:rFonts w:ascii="Arial" w:hAnsi="Arial" w:cs="Arial"/>
          <w:sz w:val="24"/>
          <w:szCs w:val="24"/>
        </w:rPr>
        <w:t>Charter</w:t>
      </w:r>
      <w:r w:rsidRPr="00113C90">
        <w:rPr>
          <w:rFonts w:ascii="Arial" w:hAnsi="Arial" w:cs="Arial"/>
          <w:sz w:val="24"/>
          <w:szCs w:val="24"/>
        </w:rPr>
        <w:t xml:space="preserve"> </w:t>
      </w:r>
      <w:r w:rsidR="008A6924">
        <w:rPr>
          <w:rFonts w:ascii="Arial" w:hAnsi="Arial" w:cs="Arial"/>
          <w:sz w:val="24"/>
          <w:szCs w:val="24"/>
        </w:rPr>
        <w:t xml:space="preserve">‘shadows’ </w:t>
      </w:r>
      <w:r w:rsidR="0005507F">
        <w:rPr>
          <w:rFonts w:ascii="Arial" w:hAnsi="Arial" w:cs="Arial"/>
          <w:sz w:val="24"/>
          <w:szCs w:val="24"/>
        </w:rPr>
        <w:t xml:space="preserve">existing </w:t>
      </w:r>
      <w:r w:rsidRPr="00113C90">
        <w:rPr>
          <w:rFonts w:ascii="Arial" w:hAnsi="Arial" w:cs="Arial"/>
          <w:sz w:val="24"/>
          <w:szCs w:val="24"/>
        </w:rPr>
        <w:t>EU law provisions</w:t>
      </w:r>
      <w:r w:rsidR="008A6924">
        <w:rPr>
          <w:rFonts w:ascii="Arial" w:hAnsi="Arial" w:cs="Arial"/>
          <w:sz w:val="24"/>
          <w:szCs w:val="24"/>
        </w:rPr>
        <w:t xml:space="preserve">, </w:t>
      </w:r>
      <w:r w:rsidRPr="00113C90">
        <w:rPr>
          <w:rFonts w:ascii="Arial" w:hAnsi="Arial" w:cs="Arial"/>
          <w:sz w:val="24"/>
          <w:szCs w:val="24"/>
        </w:rPr>
        <w:t xml:space="preserve">so that whenever an issue of EU law </w:t>
      </w:r>
      <w:r w:rsidR="0005507F">
        <w:rPr>
          <w:rFonts w:ascii="Arial" w:hAnsi="Arial" w:cs="Arial"/>
          <w:sz w:val="24"/>
          <w:szCs w:val="24"/>
        </w:rPr>
        <w:t>is being adjudicated</w:t>
      </w:r>
      <w:r w:rsidR="003033AC">
        <w:rPr>
          <w:rFonts w:ascii="Arial" w:hAnsi="Arial" w:cs="Arial"/>
          <w:sz w:val="24"/>
          <w:szCs w:val="24"/>
        </w:rPr>
        <w:t>,</w:t>
      </w:r>
      <w:r w:rsidR="0005507F">
        <w:rPr>
          <w:rFonts w:ascii="Arial" w:hAnsi="Arial" w:cs="Arial"/>
          <w:sz w:val="24"/>
          <w:szCs w:val="24"/>
        </w:rPr>
        <w:t xml:space="preserve"> </w:t>
      </w:r>
      <w:r w:rsidRPr="00113C90">
        <w:rPr>
          <w:rFonts w:ascii="Arial" w:hAnsi="Arial" w:cs="Arial"/>
          <w:sz w:val="24"/>
          <w:szCs w:val="24"/>
        </w:rPr>
        <w:t xml:space="preserve">then the Articles of the </w:t>
      </w:r>
      <w:r>
        <w:rPr>
          <w:rFonts w:ascii="Arial" w:hAnsi="Arial" w:cs="Arial"/>
          <w:sz w:val="24"/>
          <w:szCs w:val="24"/>
        </w:rPr>
        <w:t>Charter</w:t>
      </w:r>
      <w:r w:rsidRPr="00113C90">
        <w:rPr>
          <w:rFonts w:ascii="Arial" w:hAnsi="Arial" w:cs="Arial"/>
          <w:sz w:val="24"/>
          <w:szCs w:val="24"/>
        </w:rPr>
        <w:t xml:space="preserve"> must be also applied.</w:t>
      </w:r>
      <w:r>
        <w:rPr>
          <w:rFonts w:ascii="Arial" w:hAnsi="Arial" w:cs="Arial"/>
          <w:sz w:val="24"/>
          <w:szCs w:val="24"/>
        </w:rPr>
        <w:t xml:space="preserve"> The </w:t>
      </w:r>
      <w:r w:rsidR="00871ECA">
        <w:rPr>
          <w:rFonts w:ascii="Arial" w:hAnsi="Arial" w:cs="Arial"/>
          <w:i/>
          <w:sz w:val="24"/>
          <w:szCs w:val="24"/>
        </w:rPr>
        <w:t>Explanations</w:t>
      </w:r>
      <w:r>
        <w:rPr>
          <w:rFonts w:ascii="Arial" w:hAnsi="Arial" w:cs="Arial"/>
          <w:sz w:val="24"/>
          <w:szCs w:val="24"/>
        </w:rPr>
        <w:t xml:space="preserve"> confirm that </w:t>
      </w:r>
      <w:r w:rsidR="00B02124" w:rsidRPr="00113C90">
        <w:rPr>
          <w:rFonts w:ascii="Arial" w:hAnsi="Arial" w:cs="Arial"/>
          <w:sz w:val="24"/>
          <w:szCs w:val="24"/>
          <w:lang w:val="en-US"/>
        </w:rPr>
        <w:t xml:space="preserve">Article 51(1) </w:t>
      </w:r>
      <w:r w:rsidR="00050603">
        <w:rPr>
          <w:rFonts w:ascii="Arial" w:hAnsi="Arial" w:cs="Arial"/>
          <w:sz w:val="24"/>
          <w:szCs w:val="24"/>
          <w:lang w:val="en-US"/>
        </w:rPr>
        <w:t>“</w:t>
      </w:r>
      <w:r w:rsidR="00B02124" w:rsidRPr="00113C90">
        <w:rPr>
          <w:rFonts w:ascii="Arial" w:hAnsi="Arial" w:cs="Arial"/>
          <w:sz w:val="24"/>
          <w:szCs w:val="24"/>
          <w:lang w:val="en-US"/>
        </w:rPr>
        <w:t>was not intended as any dramatic</w:t>
      </w:r>
      <w:r w:rsidR="00BF4ABE">
        <w:rPr>
          <w:rFonts w:ascii="Arial" w:hAnsi="Arial" w:cs="Arial"/>
          <w:sz w:val="24"/>
          <w:szCs w:val="24"/>
          <w:lang w:val="en-US"/>
        </w:rPr>
        <w:t xml:space="preserve"> </w:t>
      </w:r>
      <w:r w:rsidR="00B02124" w:rsidRPr="00113C90">
        <w:rPr>
          <w:rFonts w:ascii="Arial" w:hAnsi="Arial" w:cs="Arial"/>
          <w:sz w:val="24"/>
          <w:szCs w:val="24"/>
          <w:lang w:val="en-US"/>
        </w:rPr>
        <w:t>change in the scope of application of EU human rights law, but rather followed</w:t>
      </w:r>
      <w:r w:rsidR="00BF4ABE">
        <w:rPr>
          <w:rFonts w:ascii="Arial" w:hAnsi="Arial" w:cs="Arial"/>
          <w:sz w:val="24"/>
          <w:szCs w:val="24"/>
          <w:lang w:val="en-US"/>
        </w:rPr>
        <w:t xml:space="preserve"> </w:t>
      </w:r>
      <w:r w:rsidR="00B02124" w:rsidRPr="00113C90">
        <w:rPr>
          <w:rFonts w:ascii="Arial" w:hAnsi="Arial" w:cs="Arial"/>
          <w:sz w:val="24"/>
          <w:szCs w:val="24"/>
          <w:lang w:val="en-US"/>
        </w:rPr>
        <w:t>“unambiguously” from the CJEU’s pre-existing case law</w:t>
      </w:r>
      <w:r w:rsidR="008A6924">
        <w:rPr>
          <w:rFonts w:ascii="Arial" w:hAnsi="Arial" w:cs="Arial"/>
          <w:sz w:val="24"/>
          <w:szCs w:val="24"/>
          <w:lang w:val="en-US"/>
        </w:rPr>
        <w:t>.”</w:t>
      </w:r>
      <w:r w:rsidR="008A6924" w:rsidRPr="008A6924">
        <w:rPr>
          <w:rStyle w:val="FootnoteReference"/>
          <w:rFonts w:ascii="Arial" w:hAnsi="Arial" w:cs="Arial"/>
          <w:sz w:val="24"/>
          <w:szCs w:val="24"/>
          <w:lang w:val="en-US"/>
        </w:rPr>
        <w:t xml:space="preserve"> </w:t>
      </w:r>
      <w:r w:rsidR="008A6924" w:rsidRPr="00050603">
        <w:rPr>
          <w:rStyle w:val="FootnoteReference"/>
          <w:rFonts w:ascii="Arial" w:hAnsi="Arial" w:cs="Arial"/>
          <w:sz w:val="24"/>
          <w:szCs w:val="24"/>
          <w:lang w:val="en-US"/>
        </w:rPr>
        <w:footnoteReference w:id="24"/>
      </w:r>
      <w:r w:rsidR="0022504E">
        <w:rPr>
          <w:rFonts w:ascii="Arial" w:hAnsi="Arial" w:cs="Arial"/>
          <w:sz w:val="24"/>
          <w:szCs w:val="24"/>
          <w:lang w:val="en-US"/>
        </w:rPr>
        <w:t xml:space="preserve"> </w:t>
      </w:r>
    </w:p>
    <w:p w14:paraId="3822EEBE" w14:textId="77777777" w:rsidR="006A07F2" w:rsidRPr="00113C90" w:rsidRDefault="006A07F2" w:rsidP="000506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4"/>
          <w:szCs w:val="24"/>
          <w:lang w:val="en-US"/>
        </w:rPr>
      </w:pPr>
    </w:p>
    <w:p w14:paraId="2972E1EA" w14:textId="07F67BBE" w:rsidR="006A07F2" w:rsidRDefault="006A07F2" w:rsidP="006A07F2">
      <w:pPr>
        <w:widowControl w:val="0"/>
        <w:autoSpaceDE w:val="0"/>
        <w:autoSpaceDN w:val="0"/>
        <w:adjustRightInd w:val="0"/>
        <w:spacing w:after="0" w:line="240" w:lineRule="auto"/>
        <w:rPr>
          <w:rFonts w:ascii="Arial" w:hAnsi="Arial" w:cs="Arial"/>
          <w:sz w:val="24"/>
          <w:szCs w:val="24"/>
        </w:rPr>
      </w:pPr>
      <w:r w:rsidRPr="00113C90">
        <w:rPr>
          <w:rFonts w:ascii="Arial" w:hAnsi="Arial" w:cs="Arial"/>
          <w:sz w:val="24"/>
          <w:szCs w:val="24"/>
        </w:rPr>
        <w:t>In all cases, EU Member States are under an obligation to interpret national law harmoniously, i.e. in a way that will not conflict with the EU act (called indirect effect and stemming from the principle of sincere cooperation).</w:t>
      </w:r>
      <w:r w:rsidRPr="00113C90">
        <w:rPr>
          <w:rFonts w:ascii="Arial" w:hAnsi="Arial" w:cs="Arial"/>
          <w:sz w:val="24"/>
          <w:szCs w:val="24"/>
          <w:vertAlign w:val="superscript"/>
        </w:rPr>
        <w:footnoteReference w:id="25"/>
      </w:r>
      <w:r w:rsidRPr="00113C90">
        <w:rPr>
          <w:rFonts w:ascii="Arial" w:hAnsi="Arial" w:cs="Arial"/>
          <w:sz w:val="24"/>
          <w:szCs w:val="24"/>
          <w:vertAlign w:val="superscript"/>
        </w:rPr>
        <w:t xml:space="preserve">  </w:t>
      </w:r>
      <w:r w:rsidRPr="00113C90">
        <w:rPr>
          <w:rFonts w:ascii="Arial" w:hAnsi="Arial" w:cs="Arial"/>
          <w:sz w:val="24"/>
          <w:szCs w:val="24"/>
        </w:rPr>
        <w:t>Under the doctrine of consistent interpretation, national courts and administrations have a duty to interpret national law in light of EU law.</w:t>
      </w:r>
      <w:r w:rsidRPr="00113C90">
        <w:rPr>
          <w:rStyle w:val="FootnoteReference"/>
          <w:rFonts w:ascii="Arial" w:hAnsi="Arial" w:cs="Arial"/>
          <w:sz w:val="24"/>
          <w:szCs w:val="24"/>
        </w:rPr>
        <w:footnoteReference w:id="26"/>
      </w:r>
      <w:r w:rsidRPr="00113C90">
        <w:rPr>
          <w:rFonts w:ascii="Arial" w:hAnsi="Arial" w:cs="Arial"/>
          <w:sz w:val="24"/>
          <w:szCs w:val="24"/>
        </w:rPr>
        <w:t xml:space="preserve"> Individuals can obtain damages</w:t>
      </w:r>
      <w:r w:rsidR="008A6924">
        <w:rPr>
          <w:rFonts w:ascii="Arial" w:hAnsi="Arial" w:cs="Arial"/>
          <w:sz w:val="24"/>
          <w:szCs w:val="24"/>
        </w:rPr>
        <w:t xml:space="preserve">, in specific circumstances, </w:t>
      </w:r>
      <w:r w:rsidRPr="00113C90">
        <w:rPr>
          <w:rFonts w:ascii="Arial" w:hAnsi="Arial" w:cs="Arial"/>
          <w:sz w:val="24"/>
          <w:szCs w:val="24"/>
        </w:rPr>
        <w:t>where a breach of EU law has been established.</w:t>
      </w:r>
      <w:r w:rsidRPr="00113C90">
        <w:rPr>
          <w:rStyle w:val="FootnoteReference"/>
          <w:rFonts w:ascii="Arial" w:hAnsi="Arial" w:cs="Arial"/>
          <w:sz w:val="24"/>
          <w:szCs w:val="24"/>
        </w:rPr>
        <w:footnoteReference w:id="27"/>
      </w:r>
    </w:p>
    <w:p w14:paraId="37519F88" w14:textId="77777777" w:rsidR="006A07F2" w:rsidRPr="00113C90" w:rsidRDefault="006A07F2" w:rsidP="006A07F2">
      <w:pPr>
        <w:widowControl w:val="0"/>
        <w:autoSpaceDE w:val="0"/>
        <w:autoSpaceDN w:val="0"/>
        <w:adjustRightInd w:val="0"/>
        <w:spacing w:after="0" w:line="240" w:lineRule="auto"/>
        <w:rPr>
          <w:rFonts w:ascii="Arial" w:hAnsi="Arial" w:cs="Arial"/>
          <w:sz w:val="24"/>
          <w:szCs w:val="24"/>
        </w:rPr>
      </w:pPr>
    </w:p>
    <w:p w14:paraId="5161EFDC" w14:textId="13349092" w:rsidR="006A07F2" w:rsidRPr="00113C90" w:rsidRDefault="006A07F2" w:rsidP="006A07F2">
      <w:pPr>
        <w:pStyle w:val="sti-art"/>
        <w:spacing w:before="0" w:beforeAutospacing="0" w:after="0" w:afterAutospacing="0"/>
        <w:rPr>
          <w:rFonts w:ascii="Arial" w:eastAsia="Times New Roman" w:hAnsi="Arial" w:cs="Arial"/>
          <w:sz w:val="24"/>
          <w:szCs w:val="24"/>
        </w:rPr>
      </w:pPr>
      <w:r w:rsidRPr="00113C90">
        <w:rPr>
          <w:rFonts w:ascii="Arial" w:eastAsia="Times New Roman" w:hAnsi="Arial" w:cs="Arial"/>
          <w:sz w:val="24"/>
          <w:szCs w:val="24"/>
          <w:lang w:val="en-GB"/>
        </w:rPr>
        <w:t xml:space="preserve">Under the principle of derogation, in Article 52(1), Member States may limit the application of the rights in the </w:t>
      </w:r>
      <w:r>
        <w:rPr>
          <w:rFonts w:ascii="Arial" w:eastAsia="Times New Roman" w:hAnsi="Arial" w:cs="Arial"/>
          <w:sz w:val="24"/>
          <w:szCs w:val="24"/>
          <w:lang w:val="en-GB"/>
        </w:rPr>
        <w:t>Charter</w:t>
      </w:r>
      <w:r w:rsidRPr="00113C90">
        <w:rPr>
          <w:rFonts w:ascii="Arial" w:eastAsia="Times New Roman" w:hAnsi="Arial" w:cs="Arial"/>
          <w:sz w:val="24"/>
          <w:szCs w:val="24"/>
          <w:lang w:val="en-GB"/>
        </w:rPr>
        <w:t xml:space="preserve"> as long as the limitation is (i) provided for by law, (ii) respects the essence of the rights in the </w:t>
      </w:r>
      <w:r>
        <w:rPr>
          <w:rFonts w:ascii="Arial" w:eastAsia="Times New Roman" w:hAnsi="Arial" w:cs="Arial"/>
          <w:sz w:val="24"/>
          <w:szCs w:val="24"/>
          <w:lang w:val="en-GB"/>
        </w:rPr>
        <w:t>Charter</w:t>
      </w:r>
      <w:r w:rsidRPr="00113C90">
        <w:rPr>
          <w:rFonts w:ascii="Arial" w:eastAsia="Times New Roman" w:hAnsi="Arial" w:cs="Arial"/>
          <w:sz w:val="24"/>
          <w:szCs w:val="24"/>
          <w:lang w:val="en-GB"/>
        </w:rPr>
        <w:t>, and (iii) is subject to the principle of proportionality – meaning that the limiting measure is necessary, and genuinely meets the EU’s objectives of general interests or the need to protect the rights and freedoms of others.</w:t>
      </w:r>
      <w:r w:rsidRPr="00113C90">
        <w:rPr>
          <w:rFonts w:ascii="Arial" w:eastAsia="Times New Roman" w:hAnsi="Arial" w:cs="Arial"/>
          <w:sz w:val="24"/>
          <w:szCs w:val="24"/>
          <w:vertAlign w:val="superscript"/>
        </w:rPr>
        <w:footnoteReference w:id="28"/>
      </w:r>
      <w:r w:rsidRPr="00113C90">
        <w:rPr>
          <w:rFonts w:ascii="Arial" w:eastAsia="Times New Roman" w:hAnsi="Arial" w:cs="Arial"/>
          <w:sz w:val="24"/>
          <w:szCs w:val="24"/>
        </w:rPr>
        <w:t xml:space="preserve"> However, Article 53 prevents the </w:t>
      </w:r>
      <w:r>
        <w:rPr>
          <w:rFonts w:ascii="Arial" w:eastAsia="Times New Roman" w:hAnsi="Arial" w:cs="Arial"/>
          <w:sz w:val="24"/>
          <w:szCs w:val="24"/>
        </w:rPr>
        <w:t>Charter</w:t>
      </w:r>
      <w:r w:rsidRPr="00113C90">
        <w:rPr>
          <w:rFonts w:ascii="Arial" w:eastAsia="Times New Roman" w:hAnsi="Arial" w:cs="Arial"/>
          <w:sz w:val="24"/>
          <w:szCs w:val="24"/>
        </w:rPr>
        <w:t xml:space="preserve"> being used to reduce or lower any existing human rights applicable.</w:t>
      </w:r>
      <w:r w:rsidRPr="00113C90">
        <w:rPr>
          <w:rStyle w:val="FootnoteReference"/>
          <w:rFonts w:ascii="Arial" w:eastAsia="Times New Roman" w:hAnsi="Arial" w:cs="Arial"/>
          <w:sz w:val="24"/>
          <w:szCs w:val="24"/>
        </w:rPr>
        <w:footnoteReference w:id="29"/>
      </w:r>
      <w:r w:rsidRPr="00113C90">
        <w:rPr>
          <w:rFonts w:ascii="Arial" w:eastAsia="Times New Roman" w:hAnsi="Arial" w:cs="Arial"/>
          <w:sz w:val="24"/>
          <w:szCs w:val="24"/>
        </w:rPr>
        <w:t xml:space="preserve"> </w:t>
      </w:r>
      <w:r w:rsidR="0022504E">
        <w:rPr>
          <w:rFonts w:ascii="Arial" w:eastAsia="Times New Roman" w:hAnsi="Arial" w:cs="Arial"/>
          <w:sz w:val="24"/>
          <w:szCs w:val="24"/>
        </w:rPr>
        <w:t>The rel</w:t>
      </w:r>
      <w:r w:rsidR="003E2DB7">
        <w:rPr>
          <w:rFonts w:ascii="Arial" w:eastAsia="Times New Roman" w:hAnsi="Arial" w:cs="Arial"/>
          <w:sz w:val="24"/>
          <w:szCs w:val="24"/>
        </w:rPr>
        <w:t>e</w:t>
      </w:r>
      <w:r w:rsidR="0022504E">
        <w:rPr>
          <w:rFonts w:ascii="Arial" w:eastAsia="Times New Roman" w:hAnsi="Arial" w:cs="Arial"/>
          <w:sz w:val="24"/>
          <w:szCs w:val="24"/>
        </w:rPr>
        <w:t xml:space="preserve">vant EU </w:t>
      </w:r>
      <w:r w:rsidR="0022504E">
        <w:rPr>
          <w:rFonts w:ascii="Arial" w:eastAsia="Times New Roman" w:hAnsi="Arial" w:cs="Arial"/>
          <w:sz w:val="24"/>
          <w:szCs w:val="24"/>
        </w:rPr>
        <w:lastRenderedPageBreak/>
        <w:t>regulations, directives or national laws implementing these are read through the prism of the Charter Articles, which have links to other instruments.</w:t>
      </w:r>
    </w:p>
    <w:p w14:paraId="0FD85E0E" w14:textId="77777777" w:rsidR="00124C7D" w:rsidRDefault="00124C7D" w:rsidP="00941DD6">
      <w:pPr>
        <w:spacing w:after="0" w:line="240" w:lineRule="auto"/>
        <w:rPr>
          <w:rFonts w:ascii="Arial" w:eastAsia="Times New Roman" w:hAnsi="Arial" w:cs="Arial"/>
          <w:b/>
          <w:bCs/>
          <w:i/>
          <w:iCs/>
          <w:sz w:val="24"/>
          <w:szCs w:val="24"/>
        </w:rPr>
      </w:pPr>
    </w:p>
    <w:p w14:paraId="0FE71D53" w14:textId="6DF9D0BA" w:rsidR="00124C7D" w:rsidRDefault="001F64EF" w:rsidP="00124C7D">
      <w:pPr>
        <w:spacing w:after="0" w:line="240" w:lineRule="auto"/>
        <w:rPr>
          <w:rFonts w:ascii="Arial" w:eastAsia="Times New Roman" w:hAnsi="Arial" w:cs="Arial"/>
          <w:b/>
          <w:sz w:val="24"/>
          <w:szCs w:val="24"/>
        </w:rPr>
      </w:pPr>
      <w:r>
        <w:rPr>
          <w:rFonts w:ascii="Arial" w:eastAsia="Times New Roman" w:hAnsi="Arial" w:cs="Arial"/>
          <w:b/>
          <w:sz w:val="24"/>
          <w:szCs w:val="24"/>
        </w:rPr>
        <w:t xml:space="preserve">b. </w:t>
      </w:r>
      <w:r w:rsidR="00161A22">
        <w:rPr>
          <w:rFonts w:ascii="Arial" w:eastAsia="Times New Roman" w:hAnsi="Arial" w:cs="Arial"/>
          <w:b/>
          <w:sz w:val="24"/>
          <w:szCs w:val="24"/>
        </w:rPr>
        <w:t>C</w:t>
      </w:r>
      <w:r w:rsidR="00124C7D" w:rsidRPr="00113C90">
        <w:rPr>
          <w:rFonts w:ascii="Arial" w:eastAsia="Times New Roman" w:hAnsi="Arial" w:cs="Arial"/>
          <w:b/>
          <w:sz w:val="24"/>
          <w:szCs w:val="24"/>
        </w:rPr>
        <w:t xml:space="preserve">ompatibility of the domestic provision with the </w:t>
      </w:r>
      <w:r w:rsidR="00124C7D">
        <w:rPr>
          <w:rFonts w:ascii="Arial" w:eastAsia="Times New Roman" w:hAnsi="Arial" w:cs="Arial"/>
          <w:b/>
          <w:sz w:val="24"/>
          <w:szCs w:val="24"/>
        </w:rPr>
        <w:t>Charter</w:t>
      </w:r>
    </w:p>
    <w:p w14:paraId="0F63E5A4" w14:textId="77777777" w:rsidR="00124C7D" w:rsidRPr="00113C90" w:rsidRDefault="00124C7D" w:rsidP="00124C7D">
      <w:pPr>
        <w:spacing w:after="0" w:line="240" w:lineRule="auto"/>
        <w:rPr>
          <w:rFonts w:ascii="Arial" w:eastAsia="Times New Roman" w:hAnsi="Arial" w:cs="Arial"/>
          <w:b/>
          <w:sz w:val="24"/>
          <w:szCs w:val="24"/>
        </w:rPr>
      </w:pPr>
    </w:p>
    <w:p w14:paraId="305CBDB7" w14:textId="6B502BD7" w:rsidR="00124C7D" w:rsidRPr="00113C90" w:rsidRDefault="00124C7D" w:rsidP="00124C7D">
      <w:pPr>
        <w:spacing w:after="0" w:line="240" w:lineRule="auto"/>
        <w:rPr>
          <w:rFonts w:ascii="Arial" w:eastAsia="Times New Roman" w:hAnsi="Arial" w:cs="Arial"/>
          <w:sz w:val="24"/>
          <w:szCs w:val="24"/>
        </w:rPr>
      </w:pPr>
      <w:r w:rsidRPr="00113C90">
        <w:rPr>
          <w:rFonts w:ascii="Arial" w:eastAsia="Times New Roman" w:hAnsi="Arial" w:cs="Arial"/>
          <w:sz w:val="24"/>
          <w:szCs w:val="24"/>
        </w:rPr>
        <w:t xml:space="preserve">The </w:t>
      </w:r>
      <w:r w:rsidR="00EC4477">
        <w:rPr>
          <w:rFonts w:ascii="Arial" w:eastAsia="Times New Roman" w:hAnsi="Arial" w:cs="Arial"/>
          <w:sz w:val="24"/>
          <w:szCs w:val="24"/>
        </w:rPr>
        <w:t xml:space="preserve">Articles of the </w:t>
      </w:r>
      <w:r>
        <w:rPr>
          <w:rFonts w:ascii="Arial" w:eastAsia="Times New Roman" w:hAnsi="Arial" w:cs="Arial"/>
          <w:sz w:val="24"/>
          <w:szCs w:val="24"/>
        </w:rPr>
        <w:t xml:space="preserve">Charter </w:t>
      </w:r>
      <w:r w:rsidRPr="00113C90">
        <w:rPr>
          <w:rFonts w:ascii="Arial" w:eastAsia="Times New Roman" w:hAnsi="Arial" w:cs="Arial"/>
          <w:sz w:val="24"/>
          <w:szCs w:val="24"/>
        </w:rPr>
        <w:t>appl</w:t>
      </w:r>
      <w:r w:rsidR="00EC4477">
        <w:rPr>
          <w:rFonts w:ascii="Arial" w:eastAsia="Times New Roman" w:hAnsi="Arial" w:cs="Arial"/>
          <w:sz w:val="24"/>
          <w:szCs w:val="24"/>
        </w:rPr>
        <w:t>y</w:t>
      </w:r>
      <w:r w:rsidRPr="00113C90">
        <w:rPr>
          <w:rFonts w:ascii="Arial" w:eastAsia="Times New Roman" w:hAnsi="Arial" w:cs="Arial"/>
          <w:sz w:val="24"/>
          <w:szCs w:val="24"/>
        </w:rPr>
        <w:t xml:space="preserve"> if a domestic measure falls under the ‘scope of EU law’. There are three scenarios where this is most likely to occur.</w:t>
      </w:r>
      <w:r w:rsidRPr="00113C90">
        <w:rPr>
          <w:rStyle w:val="FootnoteReference"/>
          <w:rFonts w:ascii="Arial" w:eastAsia="Times New Roman" w:hAnsi="Arial" w:cs="Arial"/>
          <w:sz w:val="24"/>
          <w:szCs w:val="24"/>
        </w:rPr>
        <w:footnoteReference w:id="30"/>
      </w:r>
      <w:r w:rsidR="00B537B1" w:rsidRPr="00B537B1">
        <w:rPr>
          <w:rStyle w:val="FootnoteReference"/>
          <w:rFonts w:ascii="Arial" w:eastAsia="Times New Roman" w:hAnsi="Arial" w:cs="Arial"/>
          <w:sz w:val="24"/>
          <w:szCs w:val="24"/>
        </w:rPr>
        <w:t xml:space="preserve"> </w:t>
      </w:r>
    </w:p>
    <w:p w14:paraId="70E6D0AC" w14:textId="77777777" w:rsidR="00124C7D" w:rsidRPr="00113C90" w:rsidRDefault="00124C7D" w:rsidP="00124C7D">
      <w:pPr>
        <w:spacing w:after="0" w:line="240" w:lineRule="auto"/>
        <w:rPr>
          <w:rFonts w:ascii="Arial" w:eastAsia="Times New Roman" w:hAnsi="Arial" w:cs="Arial"/>
          <w:sz w:val="24"/>
          <w:szCs w:val="24"/>
        </w:rPr>
      </w:pPr>
    </w:p>
    <w:p w14:paraId="00F843B4" w14:textId="5260360A" w:rsidR="00EC4477" w:rsidRPr="00EC4477" w:rsidRDefault="00EC4477" w:rsidP="00EC4477">
      <w:pPr>
        <w:spacing w:after="0" w:line="240" w:lineRule="auto"/>
        <w:ind w:firstLine="720"/>
        <w:rPr>
          <w:rFonts w:ascii="Arial" w:eastAsia="Times New Roman" w:hAnsi="Arial" w:cs="Arial"/>
          <w:i/>
          <w:sz w:val="24"/>
          <w:szCs w:val="24"/>
          <w:u w:val="single"/>
        </w:rPr>
      </w:pPr>
      <w:r>
        <w:rPr>
          <w:rFonts w:ascii="Arial" w:eastAsia="Times New Roman" w:hAnsi="Arial" w:cs="Arial"/>
          <w:i/>
          <w:sz w:val="24"/>
          <w:szCs w:val="24"/>
          <w:u w:val="single"/>
        </w:rPr>
        <w:t>(i)</w:t>
      </w:r>
      <w:r w:rsidRPr="00EC4477">
        <w:rPr>
          <w:rFonts w:ascii="Arial" w:eastAsia="Times New Roman" w:hAnsi="Arial" w:cs="Arial"/>
          <w:i/>
          <w:sz w:val="24"/>
          <w:szCs w:val="24"/>
          <w:u w:val="single"/>
        </w:rPr>
        <w:t xml:space="preserve"> </w:t>
      </w:r>
      <w:r w:rsidR="00124C7D" w:rsidRPr="00EC4477">
        <w:rPr>
          <w:rFonts w:ascii="Arial" w:eastAsia="Times New Roman" w:hAnsi="Arial" w:cs="Arial"/>
          <w:i/>
          <w:sz w:val="24"/>
          <w:szCs w:val="24"/>
          <w:u w:val="single"/>
        </w:rPr>
        <w:t>The action of the Member States is “entirely determined by EU law</w:t>
      </w:r>
      <w:r w:rsidRPr="00EC4477">
        <w:rPr>
          <w:rFonts w:ascii="Arial" w:eastAsia="Times New Roman" w:hAnsi="Arial" w:cs="Arial"/>
          <w:i/>
          <w:sz w:val="24"/>
          <w:szCs w:val="24"/>
          <w:u w:val="single"/>
        </w:rPr>
        <w:t>.</w:t>
      </w:r>
      <w:r w:rsidR="00124C7D" w:rsidRPr="00EC4477">
        <w:rPr>
          <w:rFonts w:ascii="Arial" w:eastAsia="Times New Roman" w:hAnsi="Arial" w:cs="Arial"/>
          <w:i/>
          <w:sz w:val="24"/>
          <w:szCs w:val="24"/>
          <w:u w:val="single"/>
        </w:rPr>
        <w:t>”</w:t>
      </w:r>
    </w:p>
    <w:p w14:paraId="68F50D43" w14:textId="77777777" w:rsidR="00EC4477" w:rsidRDefault="00EC4477" w:rsidP="00EC4477">
      <w:pPr>
        <w:spacing w:after="0" w:line="240" w:lineRule="auto"/>
        <w:rPr>
          <w:rFonts w:ascii="Arial" w:eastAsia="Times New Roman" w:hAnsi="Arial" w:cs="Arial"/>
          <w:sz w:val="24"/>
          <w:szCs w:val="24"/>
        </w:rPr>
      </w:pPr>
    </w:p>
    <w:p w14:paraId="0FD185C1" w14:textId="1E175987" w:rsidR="00EC4477" w:rsidRDefault="00EC4477" w:rsidP="00EC4477">
      <w:pPr>
        <w:spacing w:after="0" w:line="240" w:lineRule="auto"/>
        <w:rPr>
          <w:rFonts w:ascii="Arial" w:eastAsia="Times New Roman" w:hAnsi="Arial" w:cs="Arial"/>
          <w:sz w:val="24"/>
          <w:szCs w:val="24"/>
        </w:rPr>
      </w:pPr>
      <w:r>
        <w:rPr>
          <w:rFonts w:ascii="Arial" w:eastAsia="Times New Roman" w:hAnsi="Arial" w:cs="Arial"/>
          <w:sz w:val="24"/>
          <w:szCs w:val="24"/>
        </w:rPr>
        <w:t xml:space="preserve">In </w:t>
      </w:r>
      <w:r w:rsidR="00124C7D" w:rsidRPr="00EC4477">
        <w:rPr>
          <w:rFonts w:ascii="Arial" w:eastAsia="Times New Roman" w:hAnsi="Arial" w:cs="Arial"/>
          <w:sz w:val="24"/>
          <w:szCs w:val="24"/>
        </w:rPr>
        <w:t xml:space="preserve">this scenario, the national measure implements EU measures (or a provision therein) that already determine the exact level of protection that must be granted to the fundamental right(s) involved. </w:t>
      </w:r>
      <w:r>
        <w:rPr>
          <w:rFonts w:ascii="Arial" w:eastAsia="Times New Roman" w:hAnsi="Arial" w:cs="Arial"/>
          <w:sz w:val="24"/>
          <w:szCs w:val="24"/>
        </w:rPr>
        <w:t xml:space="preserve">This can involve </w:t>
      </w:r>
      <w:r w:rsidRPr="00EC4477">
        <w:rPr>
          <w:rFonts w:ascii="Arial" w:eastAsia="Times New Roman" w:hAnsi="Arial" w:cs="Arial"/>
          <w:sz w:val="24"/>
          <w:szCs w:val="24"/>
        </w:rPr>
        <w:t>national measures adopted to implement EU primary law, an EU Regulation</w:t>
      </w:r>
      <w:r>
        <w:rPr>
          <w:rFonts w:ascii="Arial" w:eastAsia="Times New Roman" w:hAnsi="Arial" w:cs="Arial"/>
          <w:sz w:val="24"/>
          <w:szCs w:val="24"/>
        </w:rPr>
        <w:t>,</w:t>
      </w:r>
      <w:r w:rsidRPr="00EC4477">
        <w:rPr>
          <w:rFonts w:ascii="Arial" w:eastAsia="Times New Roman" w:hAnsi="Arial" w:cs="Arial"/>
          <w:sz w:val="24"/>
          <w:szCs w:val="24"/>
        </w:rPr>
        <w:t xml:space="preserve"> </w:t>
      </w:r>
      <w:r>
        <w:rPr>
          <w:rFonts w:ascii="Arial" w:eastAsia="Times New Roman" w:hAnsi="Arial" w:cs="Arial"/>
          <w:sz w:val="24"/>
          <w:szCs w:val="24"/>
        </w:rPr>
        <w:t xml:space="preserve">or an EU Directive. </w:t>
      </w:r>
      <w:r w:rsidR="002E3D3C">
        <w:rPr>
          <w:rFonts w:ascii="Arial" w:eastAsia="Times New Roman" w:hAnsi="Arial" w:cs="Arial"/>
          <w:sz w:val="24"/>
          <w:szCs w:val="24"/>
        </w:rPr>
        <w:t xml:space="preserve">It </w:t>
      </w:r>
      <w:r>
        <w:rPr>
          <w:rFonts w:ascii="Arial" w:eastAsia="Times New Roman" w:hAnsi="Arial" w:cs="Arial"/>
          <w:sz w:val="24"/>
          <w:szCs w:val="24"/>
        </w:rPr>
        <w:t>can also include n</w:t>
      </w:r>
      <w:r w:rsidRPr="00050603">
        <w:rPr>
          <w:rFonts w:ascii="Arial" w:eastAsia="Times New Roman" w:hAnsi="Arial" w:cs="Arial"/>
          <w:sz w:val="24"/>
          <w:szCs w:val="24"/>
        </w:rPr>
        <w:t xml:space="preserve">ational measures which substantially act as implementing measures, though not specifically adopted on that purpose (Member States do not need to pass specific measures in order to implement a Directive if the domestic legal order is already in conformity with that Directive), or national measures which in any event have the effect to implement an obligation of the Member States under EU law, </w:t>
      </w:r>
      <w:r w:rsidRPr="00154026">
        <w:rPr>
          <w:rFonts w:ascii="Arial" w:eastAsia="Times New Roman" w:hAnsi="Arial" w:cs="Arial"/>
          <w:b/>
          <w:sz w:val="24"/>
          <w:szCs w:val="24"/>
        </w:rPr>
        <w:t xml:space="preserve">even if adopted before the EU provision </w:t>
      </w:r>
      <w:r w:rsidRPr="00050603">
        <w:rPr>
          <w:rFonts w:ascii="Arial" w:eastAsia="Times New Roman" w:hAnsi="Arial" w:cs="Arial"/>
          <w:sz w:val="24"/>
          <w:szCs w:val="24"/>
        </w:rPr>
        <w:t xml:space="preserve">that places the specific obligation on Member States (e.g. the obligation to adopt sanctions aimed to ensure the effective collection of VAT: </w:t>
      </w:r>
      <w:r w:rsidRPr="00EC4477">
        <w:rPr>
          <w:rFonts w:ascii="Arial" w:eastAsia="Times New Roman" w:hAnsi="Arial" w:cs="Arial"/>
          <w:i/>
          <w:sz w:val="24"/>
          <w:szCs w:val="24"/>
        </w:rPr>
        <w:t>Fransson</w:t>
      </w:r>
      <w:r>
        <w:rPr>
          <w:rFonts w:ascii="Arial" w:eastAsia="Times New Roman" w:hAnsi="Arial" w:cs="Arial"/>
          <w:sz w:val="24"/>
          <w:szCs w:val="24"/>
        </w:rPr>
        <w:t>).</w:t>
      </w:r>
      <w:r>
        <w:rPr>
          <w:rStyle w:val="FootnoteReference"/>
          <w:rFonts w:ascii="Arial" w:eastAsia="Times New Roman" w:hAnsi="Arial" w:cs="Arial"/>
          <w:sz w:val="24"/>
          <w:szCs w:val="24"/>
        </w:rPr>
        <w:footnoteReference w:id="31"/>
      </w:r>
    </w:p>
    <w:p w14:paraId="32E46D78" w14:textId="77777777" w:rsidR="00B537B1" w:rsidRDefault="00B537B1" w:rsidP="00EC4477">
      <w:pPr>
        <w:spacing w:after="0" w:line="240" w:lineRule="auto"/>
        <w:rPr>
          <w:rFonts w:ascii="Arial" w:eastAsia="Times New Roman" w:hAnsi="Arial" w:cs="Arial"/>
          <w:sz w:val="24"/>
          <w:szCs w:val="24"/>
        </w:rPr>
      </w:pPr>
    </w:p>
    <w:p w14:paraId="3FDBBDC7" w14:textId="2D34D9E8" w:rsidR="003E2DB7" w:rsidRPr="00B537B1" w:rsidRDefault="00124C7D" w:rsidP="00B537B1">
      <w:pPr>
        <w:spacing w:after="0" w:line="240" w:lineRule="auto"/>
        <w:rPr>
          <w:rFonts w:ascii="Arial" w:eastAsia="Times New Roman" w:hAnsi="Arial" w:cs="Arial"/>
          <w:sz w:val="24"/>
          <w:szCs w:val="24"/>
        </w:rPr>
      </w:pPr>
      <w:r w:rsidRPr="00EC4477">
        <w:rPr>
          <w:rFonts w:ascii="Arial" w:eastAsia="Times New Roman" w:hAnsi="Arial" w:cs="Arial"/>
          <w:sz w:val="24"/>
          <w:szCs w:val="24"/>
        </w:rPr>
        <w:t>Clearly, the EU measure must comply with the C</w:t>
      </w:r>
      <w:r w:rsidR="0090698E" w:rsidRPr="00EC4477">
        <w:rPr>
          <w:rFonts w:ascii="Arial" w:eastAsia="Times New Roman" w:hAnsi="Arial" w:cs="Arial"/>
          <w:sz w:val="24"/>
          <w:szCs w:val="24"/>
        </w:rPr>
        <w:t>harter</w:t>
      </w:r>
      <w:r w:rsidRPr="00EC4477">
        <w:rPr>
          <w:rFonts w:ascii="Arial" w:eastAsia="Times New Roman" w:hAnsi="Arial" w:cs="Arial"/>
          <w:sz w:val="24"/>
          <w:szCs w:val="24"/>
        </w:rPr>
        <w:t>. Therefore, if the national judge considers that the standard of protection endorsed by the EU measure does not comply with the C</w:t>
      </w:r>
      <w:r w:rsidR="0090698E" w:rsidRPr="00EC4477">
        <w:rPr>
          <w:rFonts w:ascii="Arial" w:eastAsia="Times New Roman" w:hAnsi="Arial" w:cs="Arial"/>
          <w:sz w:val="24"/>
          <w:szCs w:val="24"/>
        </w:rPr>
        <w:t>harter</w:t>
      </w:r>
      <w:r w:rsidRPr="00EC4477">
        <w:rPr>
          <w:rFonts w:ascii="Arial" w:eastAsia="Times New Roman" w:hAnsi="Arial" w:cs="Arial"/>
          <w:sz w:val="24"/>
          <w:szCs w:val="24"/>
        </w:rPr>
        <w:t xml:space="preserve">, </w:t>
      </w:r>
      <w:r w:rsidR="00EC4477">
        <w:rPr>
          <w:rFonts w:ascii="Arial" w:eastAsia="Times New Roman" w:hAnsi="Arial" w:cs="Arial"/>
          <w:sz w:val="24"/>
          <w:szCs w:val="24"/>
        </w:rPr>
        <w:t xml:space="preserve">they </w:t>
      </w:r>
      <w:r w:rsidRPr="00EC4477">
        <w:rPr>
          <w:rFonts w:ascii="Arial" w:eastAsia="Times New Roman" w:hAnsi="Arial" w:cs="Arial"/>
          <w:sz w:val="24"/>
          <w:szCs w:val="24"/>
        </w:rPr>
        <w:t>can question the validity of the EU measure through the preliminary reference</w:t>
      </w:r>
      <w:r w:rsidR="00154026">
        <w:rPr>
          <w:rFonts w:ascii="Arial" w:eastAsia="Times New Roman" w:hAnsi="Arial" w:cs="Arial"/>
          <w:sz w:val="24"/>
          <w:szCs w:val="24"/>
        </w:rPr>
        <w:t xml:space="preserve"> to the CJEU</w:t>
      </w:r>
      <w:r w:rsidRPr="00EC4477">
        <w:rPr>
          <w:rFonts w:ascii="Arial" w:eastAsia="Times New Roman" w:hAnsi="Arial" w:cs="Arial"/>
          <w:sz w:val="24"/>
          <w:szCs w:val="24"/>
        </w:rPr>
        <w:t>. In particular, a national judge that doubt</w:t>
      </w:r>
      <w:r w:rsidR="00EC4477">
        <w:rPr>
          <w:rFonts w:ascii="Arial" w:eastAsia="Times New Roman" w:hAnsi="Arial" w:cs="Arial"/>
          <w:sz w:val="24"/>
          <w:szCs w:val="24"/>
        </w:rPr>
        <w:t>s</w:t>
      </w:r>
      <w:r w:rsidRPr="00EC4477">
        <w:rPr>
          <w:rFonts w:ascii="Arial" w:eastAsia="Times New Roman" w:hAnsi="Arial" w:cs="Arial"/>
          <w:sz w:val="24"/>
          <w:szCs w:val="24"/>
        </w:rPr>
        <w:t xml:space="preserve"> the validity of the EU measure/provision cannot set it aside without </w:t>
      </w:r>
      <w:r w:rsidR="00EC4477">
        <w:rPr>
          <w:rFonts w:ascii="Arial" w:eastAsia="Times New Roman" w:hAnsi="Arial" w:cs="Arial"/>
          <w:sz w:val="24"/>
          <w:szCs w:val="24"/>
        </w:rPr>
        <w:t xml:space="preserve">a </w:t>
      </w:r>
      <w:r w:rsidRPr="00EC4477">
        <w:rPr>
          <w:rFonts w:ascii="Arial" w:eastAsia="Times New Roman" w:hAnsi="Arial" w:cs="Arial"/>
          <w:sz w:val="24"/>
          <w:szCs w:val="24"/>
        </w:rPr>
        <w:t xml:space="preserve">preliminary </w:t>
      </w:r>
      <w:r w:rsidR="00EC4477">
        <w:rPr>
          <w:rFonts w:ascii="Arial" w:eastAsia="Times New Roman" w:hAnsi="Arial" w:cs="Arial"/>
          <w:sz w:val="24"/>
          <w:szCs w:val="24"/>
        </w:rPr>
        <w:t xml:space="preserve">reference to </w:t>
      </w:r>
      <w:r w:rsidRPr="00EC4477">
        <w:rPr>
          <w:rFonts w:ascii="Arial" w:eastAsia="Times New Roman" w:hAnsi="Arial" w:cs="Arial"/>
          <w:sz w:val="24"/>
          <w:szCs w:val="24"/>
        </w:rPr>
        <w:t xml:space="preserve">the CJEU, even when the judge </w:t>
      </w:r>
      <w:r w:rsidRPr="00EC4477">
        <w:rPr>
          <w:rFonts w:ascii="Arial" w:eastAsia="Times New Roman" w:hAnsi="Arial" w:cs="Arial"/>
          <w:i/>
          <w:sz w:val="24"/>
          <w:szCs w:val="24"/>
        </w:rPr>
        <w:t>a quo</w:t>
      </w:r>
      <w:r w:rsidRPr="00EC4477">
        <w:rPr>
          <w:rFonts w:ascii="Arial" w:eastAsia="Times New Roman" w:hAnsi="Arial" w:cs="Arial"/>
          <w:sz w:val="24"/>
          <w:szCs w:val="24"/>
        </w:rPr>
        <w:t xml:space="preserve"> is not a last instance court. By contrast, if the validity of the EU measure is not in question, the national judge must ensure that the domestic provision is in line with the level of protection established by the EU measure/provision. If it lowers that level</w:t>
      </w:r>
      <w:r w:rsidR="00154026">
        <w:rPr>
          <w:rFonts w:ascii="Arial" w:eastAsia="Times New Roman" w:hAnsi="Arial" w:cs="Arial"/>
          <w:sz w:val="24"/>
          <w:szCs w:val="24"/>
        </w:rPr>
        <w:t xml:space="preserve"> of protection</w:t>
      </w:r>
      <w:r w:rsidRPr="00EC4477">
        <w:rPr>
          <w:rFonts w:ascii="Arial" w:eastAsia="Times New Roman" w:hAnsi="Arial" w:cs="Arial"/>
          <w:sz w:val="24"/>
          <w:szCs w:val="24"/>
        </w:rPr>
        <w:t>, the domestic measure is not compatible with the Charter</w:t>
      </w:r>
      <w:r w:rsidR="00EC4477">
        <w:rPr>
          <w:rFonts w:ascii="Arial" w:eastAsia="Times New Roman" w:hAnsi="Arial" w:cs="Arial"/>
          <w:sz w:val="24"/>
          <w:szCs w:val="24"/>
        </w:rPr>
        <w:t>.</w:t>
      </w:r>
      <w:r w:rsidR="00EC4477">
        <w:rPr>
          <w:rStyle w:val="FootnoteReference"/>
          <w:rFonts w:ascii="Arial" w:eastAsia="Times New Roman" w:hAnsi="Arial" w:cs="Arial"/>
          <w:sz w:val="24"/>
          <w:szCs w:val="24"/>
        </w:rPr>
        <w:footnoteReference w:id="32"/>
      </w:r>
      <w:r w:rsidRPr="00EC4477">
        <w:rPr>
          <w:rFonts w:ascii="Arial" w:eastAsia="Times New Roman" w:hAnsi="Arial" w:cs="Arial"/>
          <w:sz w:val="24"/>
          <w:szCs w:val="24"/>
        </w:rPr>
        <w:t xml:space="preserve">  </w:t>
      </w:r>
    </w:p>
    <w:p w14:paraId="2DC3A6B3" w14:textId="77777777" w:rsidR="003E2DB7" w:rsidRDefault="003E2DB7" w:rsidP="0090698E">
      <w:pPr>
        <w:pStyle w:val="ListParagraph"/>
        <w:spacing w:after="0" w:line="240" w:lineRule="auto"/>
        <w:rPr>
          <w:rFonts w:ascii="Arial" w:eastAsia="Times New Roman" w:hAnsi="Arial" w:cs="Arial"/>
          <w:sz w:val="24"/>
          <w:szCs w:val="24"/>
        </w:rPr>
      </w:pPr>
    </w:p>
    <w:p w14:paraId="7B549C47" w14:textId="77777777" w:rsidR="00EC4477" w:rsidRPr="00EC4477" w:rsidRDefault="00EC4477" w:rsidP="00EC4477">
      <w:pPr>
        <w:pStyle w:val="ListParagraph"/>
        <w:spacing w:after="0" w:line="240" w:lineRule="auto"/>
        <w:rPr>
          <w:rFonts w:ascii="Arial" w:eastAsia="Times New Roman" w:hAnsi="Arial" w:cs="Arial"/>
          <w:i/>
          <w:sz w:val="24"/>
          <w:szCs w:val="24"/>
          <w:u w:val="single"/>
        </w:rPr>
      </w:pPr>
      <w:r w:rsidRPr="00EC4477">
        <w:rPr>
          <w:rFonts w:ascii="Arial" w:eastAsia="Times New Roman" w:hAnsi="Arial" w:cs="Arial"/>
          <w:i/>
          <w:sz w:val="24"/>
          <w:szCs w:val="24"/>
          <w:u w:val="single"/>
        </w:rPr>
        <w:t xml:space="preserve">(ii) </w:t>
      </w:r>
      <w:r w:rsidR="00124C7D" w:rsidRPr="00EC4477">
        <w:rPr>
          <w:rFonts w:ascii="Arial" w:eastAsia="Times New Roman" w:hAnsi="Arial" w:cs="Arial"/>
          <w:i/>
          <w:sz w:val="24"/>
          <w:szCs w:val="24"/>
          <w:u w:val="single"/>
        </w:rPr>
        <w:t xml:space="preserve">The action of the Member States is “not entirely determined by EU law” </w:t>
      </w:r>
    </w:p>
    <w:p w14:paraId="267BB10A" w14:textId="77777777" w:rsidR="00EC4477" w:rsidRDefault="00EC4477" w:rsidP="00EC4477">
      <w:pPr>
        <w:pStyle w:val="ListParagraph"/>
        <w:spacing w:after="0" w:line="240" w:lineRule="auto"/>
        <w:rPr>
          <w:rFonts w:ascii="Arial" w:eastAsia="Times New Roman" w:hAnsi="Arial" w:cs="Arial"/>
          <w:sz w:val="24"/>
          <w:szCs w:val="24"/>
        </w:rPr>
      </w:pPr>
    </w:p>
    <w:p w14:paraId="4E9FD9A6" w14:textId="2FE16EA3" w:rsidR="0090698E" w:rsidRPr="00EC4477" w:rsidRDefault="00EC4477" w:rsidP="00EC4477">
      <w:pPr>
        <w:spacing w:after="0" w:line="240" w:lineRule="auto"/>
        <w:rPr>
          <w:rFonts w:ascii="Arial" w:eastAsia="Times New Roman" w:hAnsi="Arial" w:cs="Arial"/>
          <w:sz w:val="24"/>
          <w:szCs w:val="24"/>
        </w:rPr>
      </w:pPr>
      <w:r>
        <w:rPr>
          <w:rFonts w:ascii="Arial" w:eastAsia="Times New Roman" w:hAnsi="Arial" w:cs="Arial"/>
          <w:sz w:val="24"/>
          <w:szCs w:val="24"/>
        </w:rPr>
        <w:t>I</w:t>
      </w:r>
      <w:r w:rsidR="00124C7D" w:rsidRPr="00EC4477">
        <w:rPr>
          <w:rFonts w:ascii="Arial" w:eastAsia="Times New Roman" w:hAnsi="Arial" w:cs="Arial"/>
          <w:sz w:val="24"/>
          <w:szCs w:val="24"/>
        </w:rPr>
        <w:t>n this scenario, the domestic provision is connected with a EU measure that leaves to the Member States to determine the level of fundamental rights protection (e.g., national provisions of procedural law governing the exercise of (ordinary) rights conferred by EU law before domestic courts</w:t>
      </w:r>
      <w:r>
        <w:rPr>
          <w:rFonts w:ascii="Arial" w:eastAsia="Times New Roman" w:hAnsi="Arial" w:cs="Arial"/>
          <w:sz w:val="24"/>
          <w:szCs w:val="24"/>
        </w:rPr>
        <w:t>,</w:t>
      </w:r>
      <w:r>
        <w:rPr>
          <w:rStyle w:val="FootnoteReference"/>
          <w:rFonts w:ascii="Arial" w:eastAsia="Times New Roman" w:hAnsi="Arial" w:cs="Arial"/>
          <w:sz w:val="24"/>
          <w:szCs w:val="24"/>
        </w:rPr>
        <w:footnoteReference w:id="33"/>
      </w:r>
      <w:r w:rsidR="00124C7D" w:rsidRPr="00EC4477">
        <w:rPr>
          <w:rFonts w:ascii="Arial" w:eastAsia="Times New Roman" w:hAnsi="Arial" w:cs="Arial"/>
          <w:sz w:val="24"/>
          <w:szCs w:val="24"/>
        </w:rPr>
        <w:t xml:space="preserve"> or national provisions laying down sanctions aimed to ensure that the objectives pursued/rights conferred by a EU </w:t>
      </w:r>
      <w:r w:rsidR="00124C7D" w:rsidRPr="00EC4477">
        <w:rPr>
          <w:rFonts w:ascii="Arial" w:eastAsia="Times New Roman" w:hAnsi="Arial" w:cs="Arial"/>
          <w:sz w:val="24"/>
          <w:szCs w:val="24"/>
        </w:rPr>
        <w:lastRenderedPageBreak/>
        <w:t>measure are adequately achieved/protected</w:t>
      </w:r>
      <w:r w:rsidR="00D64409">
        <w:rPr>
          <w:rFonts w:ascii="Arial" w:eastAsia="Times New Roman" w:hAnsi="Arial" w:cs="Arial"/>
          <w:sz w:val="24"/>
          <w:szCs w:val="24"/>
        </w:rPr>
        <w:t>.</w:t>
      </w:r>
      <w:r>
        <w:rPr>
          <w:rStyle w:val="FootnoteReference"/>
          <w:rFonts w:ascii="Arial" w:eastAsia="Times New Roman" w:hAnsi="Arial" w:cs="Arial"/>
          <w:sz w:val="24"/>
          <w:szCs w:val="24"/>
        </w:rPr>
        <w:footnoteReference w:id="34"/>
      </w:r>
      <w:r w:rsidR="00124C7D" w:rsidRPr="00EC4477">
        <w:rPr>
          <w:rFonts w:ascii="Arial" w:eastAsia="Times New Roman" w:hAnsi="Arial" w:cs="Arial"/>
          <w:sz w:val="24"/>
          <w:szCs w:val="24"/>
        </w:rPr>
        <w:t xml:space="preserve">  In these cases, the Member States (including judges) must ensure that the domestic measure complies with the Charter or, </w:t>
      </w:r>
      <w:r w:rsidR="00154026">
        <w:rPr>
          <w:rFonts w:ascii="Arial" w:eastAsia="Times New Roman" w:hAnsi="Arial" w:cs="Arial"/>
          <w:sz w:val="24"/>
          <w:szCs w:val="24"/>
        </w:rPr>
        <w:t>(</w:t>
      </w:r>
      <w:r w:rsidR="00124C7D" w:rsidRPr="00EC4477">
        <w:rPr>
          <w:rFonts w:ascii="Arial" w:eastAsia="Times New Roman" w:hAnsi="Arial" w:cs="Arial"/>
          <w:sz w:val="24"/>
          <w:szCs w:val="24"/>
        </w:rPr>
        <w:t>which is the same</w:t>
      </w:r>
      <w:r w:rsidR="00154026">
        <w:rPr>
          <w:rFonts w:ascii="Arial" w:eastAsia="Times New Roman" w:hAnsi="Arial" w:cs="Arial"/>
          <w:sz w:val="24"/>
          <w:szCs w:val="24"/>
        </w:rPr>
        <w:t>)</w:t>
      </w:r>
      <w:r w:rsidR="00124C7D" w:rsidRPr="00EC4477">
        <w:rPr>
          <w:rFonts w:ascii="Arial" w:eastAsia="Times New Roman" w:hAnsi="Arial" w:cs="Arial"/>
          <w:sz w:val="24"/>
          <w:szCs w:val="24"/>
        </w:rPr>
        <w:t>, provides for restriction to the fundamental rights therein that satisfy the test of proportionali</w:t>
      </w:r>
      <w:r w:rsidR="00B93788">
        <w:rPr>
          <w:rFonts w:ascii="Arial" w:eastAsia="Times New Roman" w:hAnsi="Arial" w:cs="Arial"/>
          <w:sz w:val="24"/>
          <w:szCs w:val="24"/>
        </w:rPr>
        <w:t>ty laid down by Article 52</w:t>
      </w:r>
      <w:r w:rsidR="0090698E" w:rsidRPr="00EC4477">
        <w:rPr>
          <w:rFonts w:ascii="Arial" w:eastAsia="Times New Roman" w:hAnsi="Arial" w:cs="Arial"/>
          <w:sz w:val="24"/>
          <w:szCs w:val="24"/>
        </w:rPr>
        <w:t>(1) of the Charter</w:t>
      </w:r>
      <w:r w:rsidR="00124C7D" w:rsidRPr="00EC4477">
        <w:rPr>
          <w:rFonts w:ascii="Arial" w:eastAsia="Times New Roman" w:hAnsi="Arial" w:cs="Arial"/>
          <w:sz w:val="24"/>
          <w:szCs w:val="24"/>
        </w:rPr>
        <w:t xml:space="preserve">. Unlike in the previous scenario, Member States can decide to enhance the level of protection established by the Charter (for instance, because the domestic Constitution grants broader protection to the fundamental right(s) involved). However, the EU measure must still be complied with and competing fundamental rights must not be unjustifiably restricted. </w:t>
      </w:r>
    </w:p>
    <w:p w14:paraId="355BC429" w14:textId="77777777" w:rsidR="0090698E" w:rsidRDefault="0090698E" w:rsidP="0090698E">
      <w:pPr>
        <w:pStyle w:val="ListParagraph"/>
        <w:spacing w:after="0" w:line="240" w:lineRule="auto"/>
        <w:rPr>
          <w:rFonts w:ascii="Arial" w:eastAsia="Times New Roman" w:hAnsi="Arial" w:cs="Arial"/>
          <w:sz w:val="24"/>
          <w:szCs w:val="24"/>
        </w:rPr>
      </w:pPr>
    </w:p>
    <w:p w14:paraId="4E8F2763" w14:textId="6F7D74E6" w:rsidR="00124C7D" w:rsidRPr="00B93788" w:rsidRDefault="00154026" w:rsidP="00B93788">
      <w:pPr>
        <w:spacing w:after="0" w:line="240" w:lineRule="auto"/>
        <w:rPr>
          <w:rFonts w:ascii="Arial" w:eastAsia="Times New Roman" w:hAnsi="Arial" w:cs="Arial"/>
          <w:sz w:val="24"/>
          <w:szCs w:val="24"/>
        </w:rPr>
      </w:pPr>
      <w:r w:rsidRPr="00154026">
        <w:rPr>
          <w:rFonts w:ascii="Arial" w:eastAsia="Times New Roman" w:hAnsi="Arial" w:cs="Arial"/>
          <w:sz w:val="24"/>
          <w:szCs w:val="24"/>
        </w:rPr>
        <w:t xml:space="preserve">Article 19(1) TEU provides that ‘Member States shall provide remedies sufficient to ensure effective legal protection in the fields covered by Union law’. </w:t>
      </w:r>
      <w:r>
        <w:rPr>
          <w:rFonts w:ascii="Arial" w:eastAsia="Times New Roman" w:hAnsi="Arial" w:cs="Arial"/>
          <w:sz w:val="24"/>
          <w:szCs w:val="24"/>
        </w:rPr>
        <w:t xml:space="preserve">In relation to </w:t>
      </w:r>
      <w:r w:rsidR="00124C7D" w:rsidRPr="00B93788">
        <w:rPr>
          <w:rFonts w:ascii="Arial" w:eastAsia="Times New Roman" w:hAnsi="Arial" w:cs="Arial"/>
          <w:sz w:val="24"/>
          <w:szCs w:val="24"/>
        </w:rPr>
        <w:t xml:space="preserve">national sanctions for violation of EU rights, the </w:t>
      </w:r>
      <w:r w:rsidR="00B93788">
        <w:rPr>
          <w:rFonts w:ascii="Arial" w:eastAsia="Times New Roman" w:hAnsi="Arial" w:cs="Arial"/>
          <w:sz w:val="24"/>
          <w:szCs w:val="24"/>
        </w:rPr>
        <w:t xml:space="preserve">two </w:t>
      </w:r>
      <w:r w:rsidR="00124C7D" w:rsidRPr="00B93788">
        <w:rPr>
          <w:rFonts w:ascii="Arial" w:eastAsia="Times New Roman" w:hAnsi="Arial" w:cs="Arial"/>
          <w:sz w:val="24"/>
          <w:szCs w:val="24"/>
        </w:rPr>
        <w:t>fundamental principles of EU law: equivalence and effectiveness</w:t>
      </w:r>
      <w:r w:rsidR="00B93788">
        <w:rPr>
          <w:rFonts w:ascii="Arial" w:eastAsia="Times New Roman" w:hAnsi="Arial" w:cs="Arial"/>
          <w:sz w:val="24"/>
          <w:szCs w:val="24"/>
        </w:rPr>
        <w:t xml:space="preserve"> become central. </w:t>
      </w:r>
      <w:r w:rsidR="00124C7D" w:rsidRPr="00B93788">
        <w:rPr>
          <w:rFonts w:ascii="Arial" w:eastAsia="Times New Roman" w:hAnsi="Arial" w:cs="Arial"/>
          <w:sz w:val="24"/>
          <w:szCs w:val="24"/>
        </w:rPr>
        <w:t xml:space="preserve"> The principles of </w:t>
      </w:r>
      <w:r w:rsidR="00124C7D" w:rsidRPr="00303E3D">
        <w:rPr>
          <w:rFonts w:ascii="Arial" w:eastAsia="Times New Roman" w:hAnsi="Arial" w:cs="Arial"/>
          <w:b/>
          <w:sz w:val="24"/>
          <w:szCs w:val="24"/>
        </w:rPr>
        <w:t xml:space="preserve">equivalence </w:t>
      </w:r>
      <w:r w:rsidR="00124C7D" w:rsidRPr="00B93788">
        <w:rPr>
          <w:rFonts w:ascii="Arial" w:eastAsia="Times New Roman" w:hAnsi="Arial" w:cs="Arial"/>
          <w:sz w:val="24"/>
          <w:szCs w:val="24"/>
        </w:rPr>
        <w:t>requires national judges to set aside national procedural rules which establish more disadvantageous conditions for the exercise of rights derived from EU law</w:t>
      </w:r>
      <w:r w:rsidR="00303E3D">
        <w:rPr>
          <w:rFonts w:ascii="Arial" w:eastAsia="Times New Roman" w:hAnsi="Arial" w:cs="Arial"/>
          <w:sz w:val="24"/>
          <w:szCs w:val="24"/>
        </w:rPr>
        <w:t xml:space="preserve">, </w:t>
      </w:r>
      <w:r w:rsidR="00124C7D" w:rsidRPr="00B93788">
        <w:rPr>
          <w:rFonts w:ascii="Arial" w:eastAsia="Times New Roman" w:hAnsi="Arial" w:cs="Arial"/>
          <w:sz w:val="24"/>
          <w:szCs w:val="24"/>
        </w:rPr>
        <w:t xml:space="preserve">compared </w:t>
      </w:r>
      <w:r w:rsidR="00303E3D">
        <w:rPr>
          <w:rFonts w:ascii="Arial" w:eastAsia="Times New Roman" w:hAnsi="Arial" w:cs="Arial"/>
          <w:sz w:val="24"/>
          <w:szCs w:val="24"/>
        </w:rPr>
        <w:t xml:space="preserve">with </w:t>
      </w:r>
      <w:r w:rsidR="00124C7D" w:rsidRPr="00B93788">
        <w:rPr>
          <w:rFonts w:ascii="Arial" w:eastAsia="Times New Roman" w:hAnsi="Arial" w:cs="Arial"/>
          <w:sz w:val="24"/>
          <w:szCs w:val="24"/>
        </w:rPr>
        <w:t xml:space="preserve">equivalent rights granted by national law; under the principle of </w:t>
      </w:r>
      <w:r w:rsidR="00124C7D" w:rsidRPr="00303E3D">
        <w:rPr>
          <w:rFonts w:ascii="Arial" w:eastAsia="Times New Roman" w:hAnsi="Arial" w:cs="Arial"/>
          <w:b/>
          <w:sz w:val="24"/>
          <w:szCs w:val="24"/>
        </w:rPr>
        <w:t>effectiveness,</w:t>
      </w:r>
      <w:r w:rsidR="00124C7D" w:rsidRPr="00B93788">
        <w:rPr>
          <w:rFonts w:ascii="Arial" w:eastAsia="Times New Roman" w:hAnsi="Arial" w:cs="Arial"/>
          <w:sz w:val="24"/>
          <w:szCs w:val="24"/>
        </w:rPr>
        <w:t xml:space="preserve"> national procedural provisions must not make it impossible or excessively difficult to protect (also ordinary) rights granted by EU law. The impossible or excessively difficult character of a national procedural rules is established “by reference to the role of that provision in the procedure, its progress and its special features, viewed as a whole, before the various national instances.”</w:t>
      </w:r>
    </w:p>
    <w:p w14:paraId="64E6DF73" w14:textId="77777777" w:rsidR="00124C7D" w:rsidRDefault="00124C7D" w:rsidP="00124C7D">
      <w:pPr>
        <w:spacing w:after="0" w:line="240" w:lineRule="auto"/>
        <w:rPr>
          <w:rFonts w:ascii="Arial" w:eastAsia="Times New Roman" w:hAnsi="Arial" w:cs="Arial"/>
          <w:sz w:val="24"/>
          <w:szCs w:val="24"/>
        </w:rPr>
      </w:pPr>
    </w:p>
    <w:p w14:paraId="5648966D" w14:textId="7EFF2386" w:rsidR="00B93788" w:rsidRPr="00D64409" w:rsidRDefault="00D64409" w:rsidP="00D64409">
      <w:pPr>
        <w:spacing w:after="0" w:line="240" w:lineRule="auto"/>
        <w:ind w:left="720"/>
        <w:rPr>
          <w:rFonts w:ascii="Arial" w:eastAsia="Times New Roman" w:hAnsi="Arial" w:cs="Arial"/>
        </w:rPr>
      </w:pPr>
      <w:r w:rsidRPr="00D64409">
        <w:rPr>
          <w:rFonts w:ascii="Arial" w:eastAsia="Times New Roman" w:hAnsi="Arial" w:cs="Arial"/>
        </w:rPr>
        <w:t>As regards the principle of effectiveness, it is the Court’s settled case</w:t>
      </w:r>
      <w:r w:rsidRPr="00D64409">
        <w:rPr>
          <w:rFonts w:ascii="Arial" w:eastAsia="Times New Roman" w:hAnsi="Arial" w:cs="Arial"/>
        </w:rPr>
        <w:noBreakHyphen/>
        <w:t xml:space="preserve">law that every case in which the question arises as to whether a national procedural provision makes the application of European Union law impossible or excessively difficult must be analysed by reference to the role of that provision in the procedure, its progress and its special features, viewed as a whole, before the various national bodies (see </w:t>
      </w:r>
      <w:r w:rsidRPr="00D64409">
        <w:rPr>
          <w:rFonts w:ascii="Arial" w:eastAsia="Times New Roman" w:hAnsi="Arial" w:cs="Arial"/>
          <w:i/>
          <w:iCs/>
        </w:rPr>
        <w:t>Banco Español de Crédito</w:t>
      </w:r>
      <w:r w:rsidRPr="00D64409">
        <w:rPr>
          <w:rFonts w:ascii="Arial" w:eastAsia="Times New Roman" w:hAnsi="Arial" w:cs="Arial"/>
        </w:rPr>
        <w:t>, paragraph 49).</w:t>
      </w:r>
      <w:r w:rsidRPr="00D64409">
        <w:rPr>
          <w:rStyle w:val="FootnoteReference"/>
          <w:rFonts w:ascii="Arial" w:eastAsia="Times New Roman" w:hAnsi="Arial" w:cs="Arial"/>
        </w:rPr>
        <w:footnoteReference w:id="35"/>
      </w:r>
    </w:p>
    <w:p w14:paraId="087BFE3A" w14:textId="77777777" w:rsidR="00B93788" w:rsidRDefault="00B93788" w:rsidP="00124C7D">
      <w:pPr>
        <w:spacing w:after="0" w:line="240" w:lineRule="auto"/>
        <w:rPr>
          <w:rFonts w:ascii="Arial" w:eastAsia="Times New Roman" w:hAnsi="Arial" w:cs="Arial"/>
          <w:sz w:val="24"/>
          <w:szCs w:val="24"/>
        </w:rPr>
      </w:pPr>
    </w:p>
    <w:p w14:paraId="7AB1AD4E" w14:textId="77777777" w:rsidR="00D64409" w:rsidRPr="00D64409" w:rsidRDefault="00D64409" w:rsidP="00D64409">
      <w:pPr>
        <w:spacing w:after="0" w:line="240" w:lineRule="auto"/>
        <w:ind w:left="720"/>
        <w:rPr>
          <w:rFonts w:ascii="Arial" w:eastAsia="Times New Roman" w:hAnsi="Arial" w:cs="Arial"/>
          <w:i/>
          <w:sz w:val="24"/>
          <w:szCs w:val="24"/>
          <w:u w:val="single"/>
        </w:rPr>
      </w:pPr>
      <w:r w:rsidRPr="00D64409">
        <w:rPr>
          <w:rFonts w:ascii="Arial" w:eastAsia="Times New Roman" w:hAnsi="Arial" w:cs="Arial"/>
          <w:i/>
          <w:sz w:val="24"/>
          <w:szCs w:val="24"/>
          <w:u w:val="single"/>
        </w:rPr>
        <w:t xml:space="preserve">(iii) </w:t>
      </w:r>
      <w:r w:rsidR="00124C7D" w:rsidRPr="00D64409">
        <w:rPr>
          <w:rFonts w:ascii="Arial" w:eastAsia="Times New Roman" w:hAnsi="Arial" w:cs="Arial"/>
          <w:i/>
          <w:sz w:val="24"/>
          <w:szCs w:val="24"/>
          <w:u w:val="single"/>
        </w:rPr>
        <w:t>Member States seek to implement a legitimate derogation from EU law</w:t>
      </w:r>
      <w:r w:rsidR="00C16C3F" w:rsidRPr="00D64409">
        <w:rPr>
          <w:rFonts w:ascii="Arial" w:eastAsia="Times New Roman" w:hAnsi="Arial" w:cs="Arial"/>
          <w:i/>
          <w:sz w:val="24"/>
          <w:szCs w:val="24"/>
          <w:u w:val="single"/>
        </w:rPr>
        <w:t xml:space="preserve"> </w:t>
      </w:r>
    </w:p>
    <w:p w14:paraId="3150F205" w14:textId="77777777" w:rsidR="00D64409" w:rsidRDefault="00D64409" w:rsidP="00D64409">
      <w:pPr>
        <w:spacing w:after="0" w:line="240" w:lineRule="auto"/>
        <w:rPr>
          <w:rFonts w:ascii="Arial" w:eastAsia="Times New Roman" w:hAnsi="Arial" w:cs="Arial"/>
          <w:sz w:val="24"/>
          <w:szCs w:val="24"/>
        </w:rPr>
      </w:pPr>
    </w:p>
    <w:p w14:paraId="731BA57A" w14:textId="621ED82A" w:rsidR="00D64409" w:rsidRDefault="00D64409" w:rsidP="00D64409">
      <w:pPr>
        <w:spacing w:after="0" w:line="240" w:lineRule="auto"/>
        <w:rPr>
          <w:rFonts w:ascii="Arial" w:eastAsia="Times New Roman" w:hAnsi="Arial" w:cs="Arial"/>
          <w:sz w:val="24"/>
          <w:szCs w:val="24"/>
        </w:rPr>
      </w:pPr>
      <w:r w:rsidRPr="00D64409">
        <w:rPr>
          <w:rFonts w:ascii="Arial" w:eastAsia="Times New Roman" w:hAnsi="Arial" w:cs="Arial"/>
          <w:sz w:val="24"/>
          <w:szCs w:val="24"/>
        </w:rPr>
        <w:t xml:space="preserve">The significance of the </w:t>
      </w:r>
      <w:r w:rsidRPr="00D64409">
        <w:rPr>
          <w:rFonts w:ascii="Arial" w:eastAsia="Times New Roman" w:hAnsi="Arial" w:cs="Arial"/>
          <w:i/>
          <w:sz w:val="24"/>
          <w:szCs w:val="24"/>
        </w:rPr>
        <w:t xml:space="preserve">ERT </w:t>
      </w:r>
      <w:r w:rsidRPr="00D64409">
        <w:rPr>
          <w:rFonts w:ascii="Arial" w:eastAsia="Times New Roman" w:hAnsi="Arial" w:cs="Arial"/>
          <w:sz w:val="24"/>
          <w:szCs w:val="24"/>
        </w:rPr>
        <w:t>case</w:t>
      </w:r>
      <w:r w:rsidRPr="00124C7D">
        <w:rPr>
          <w:rStyle w:val="FootnoteReference"/>
          <w:rFonts w:ascii="Arial" w:eastAsia="Times New Roman" w:hAnsi="Arial" w:cs="Arial"/>
          <w:sz w:val="24"/>
          <w:szCs w:val="24"/>
        </w:rPr>
        <w:footnoteReference w:id="36"/>
      </w:r>
      <w:r w:rsidRPr="00D64409">
        <w:rPr>
          <w:rFonts w:ascii="Arial" w:eastAsia="Times New Roman" w:hAnsi="Arial" w:cs="Arial"/>
          <w:sz w:val="24"/>
          <w:szCs w:val="24"/>
        </w:rPr>
        <w:t xml:space="preserve"> is that EU </w:t>
      </w:r>
      <w:r w:rsidRPr="00D64409">
        <w:rPr>
          <w:rFonts w:ascii="Arial" w:hAnsi="Arial" w:cs="Arial"/>
          <w:sz w:val="24"/>
          <w:szCs w:val="24"/>
        </w:rPr>
        <w:t xml:space="preserve">Member States are obliged to respect fundamental rights whenever they adopt measures derogating from EU law </w:t>
      </w:r>
      <w:r w:rsidRPr="00D64409">
        <w:rPr>
          <w:rFonts w:ascii="Arial" w:eastAsia="Times New Roman" w:hAnsi="Arial" w:cs="Arial"/>
          <w:sz w:val="24"/>
          <w:szCs w:val="24"/>
          <w:lang w:eastAsia="en-IE"/>
        </w:rPr>
        <w:t>or when they rely on derogations from fundamental Treaty rules.</w:t>
      </w:r>
      <w:r w:rsidRPr="00124C7D">
        <w:rPr>
          <w:rStyle w:val="FootnoteReference"/>
          <w:rFonts w:ascii="Arial" w:eastAsia="Times New Roman" w:hAnsi="Arial" w:cs="Arial"/>
          <w:sz w:val="24"/>
          <w:szCs w:val="24"/>
          <w:lang w:eastAsia="en-IE"/>
        </w:rPr>
        <w:footnoteReference w:id="37"/>
      </w:r>
      <w:r w:rsidRPr="00D64409">
        <w:rPr>
          <w:rFonts w:ascii="Arial" w:eastAsia="Times New Roman" w:hAnsi="Arial" w:cs="Arial"/>
          <w:sz w:val="24"/>
          <w:szCs w:val="24"/>
          <w:lang w:eastAsia="en-IE"/>
        </w:rPr>
        <w:t xml:space="preserve"> </w:t>
      </w:r>
      <w:r>
        <w:rPr>
          <w:rFonts w:ascii="Arial" w:eastAsia="Times New Roman" w:hAnsi="Arial" w:cs="Arial"/>
          <w:sz w:val="24"/>
          <w:szCs w:val="24"/>
          <w:lang w:eastAsia="en-IE"/>
        </w:rPr>
        <w:t>D</w:t>
      </w:r>
      <w:r w:rsidRPr="00124C7D">
        <w:rPr>
          <w:rFonts w:ascii="Arial" w:eastAsia="Times New Roman" w:hAnsi="Arial" w:cs="Arial"/>
          <w:sz w:val="24"/>
          <w:szCs w:val="24"/>
        </w:rPr>
        <w:t xml:space="preserve">omestic measures implementing derogations provided by EU primary or secondary law must be proportionate: they must strike a fair balance between their (legitimate) purpose pursued and the non-application of the EU law rule. All national measures derogating from EU law must respect the Charter. Therefore, any restriction to the fundamental </w:t>
      </w:r>
      <w:r w:rsidRPr="00124C7D">
        <w:rPr>
          <w:rFonts w:ascii="Arial" w:eastAsia="Times New Roman" w:hAnsi="Arial" w:cs="Arial"/>
          <w:sz w:val="24"/>
          <w:szCs w:val="24"/>
        </w:rPr>
        <w:lastRenderedPageBreak/>
        <w:t xml:space="preserve">rights granted therein in view of a legitimate interest must satisfy the test of proportionality </w:t>
      </w:r>
      <w:r>
        <w:rPr>
          <w:rFonts w:ascii="Arial" w:eastAsia="Times New Roman" w:hAnsi="Arial" w:cs="Arial"/>
          <w:sz w:val="24"/>
          <w:szCs w:val="24"/>
        </w:rPr>
        <w:t xml:space="preserve">of </w:t>
      </w:r>
      <w:r w:rsidRPr="00124C7D">
        <w:rPr>
          <w:rFonts w:ascii="Arial" w:eastAsia="Times New Roman" w:hAnsi="Arial" w:cs="Arial"/>
          <w:sz w:val="24"/>
          <w:szCs w:val="24"/>
        </w:rPr>
        <w:t xml:space="preserve">Article 52(1) </w:t>
      </w:r>
      <w:r>
        <w:rPr>
          <w:rFonts w:ascii="Arial" w:eastAsia="Times New Roman" w:hAnsi="Arial" w:cs="Arial"/>
          <w:sz w:val="24"/>
          <w:szCs w:val="24"/>
        </w:rPr>
        <w:t xml:space="preserve">of the </w:t>
      </w:r>
      <w:r w:rsidRPr="00124C7D">
        <w:rPr>
          <w:rFonts w:ascii="Arial" w:eastAsia="Times New Roman" w:hAnsi="Arial" w:cs="Arial"/>
          <w:sz w:val="24"/>
          <w:szCs w:val="24"/>
        </w:rPr>
        <w:t>Charter.</w:t>
      </w:r>
      <w:r>
        <w:rPr>
          <w:rStyle w:val="FootnoteReference"/>
          <w:rFonts w:ascii="Arial" w:eastAsia="Times New Roman" w:hAnsi="Arial" w:cs="Arial"/>
          <w:sz w:val="24"/>
          <w:szCs w:val="24"/>
        </w:rPr>
        <w:footnoteReference w:id="38"/>
      </w:r>
    </w:p>
    <w:p w14:paraId="5F985C0A" w14:textId="77777777" w:rsidR="00303E3D" w:rsidRDefault="00303E3D" w:rsidP="00D64409">
      <w:pPr>
        <w:spacing w:after="0" w:line="240" w:lineRule="auto"/>
        <w:rPr>
          <w:rFonts w:ascii="Arial" w:eastAsia="Times New Roman" w:hAnsi="Arial" w:cs="Arial"/>
          <w:sz w:val="24"/>
          <w:szCs w:val="24"/>
        </w:rPr>
      </w:pPr>
    </w:p>
    <w:p w14:paraId="1107B74F" w14:textId="221B2173" w:rsidR="00D64409" w:rsidRPr="002E3D3C" w:rsidRDefault="002E3D3C" w:rsidP="002E3D3C">
      <w:pPr>
        <w:spacing w:after="0" w:line="240" w:lineRule="auto"/>
        <w:ind w:left="720"/>
        <w:rPr>
          <w:rFonts w:ascii="Arial" w:eastAsia="Times New Roman" w:hAnsi="Arial" w:cs="Arial"/>
          <w:i/>
          <w:sz w:val="24"/>
          <w:szCs w:val="24"/>
          <w:u w:val="single"/>
          <w:lang w:eastAsia="en-IE"/>
        </w:rPr>
      </w:pPr>
      <w:r w:rsidRPr="002E3D3C">
        <w:rPr>
          <w:rFonts w:ascii="Arial" w:eastAsia="Times New Roman" w:hAnsi="Arial" w:cs="Arial"/>
          <w:i/>
          <w:sz w:val="24"/>
          <w:szCs w:val="24"/>
          <w:u w:val="single"/>
          <w:lang w:eastAsia="en-IE"/>
        </w:rPr>
        <w:t>(iv) Some recent decisions</w:t>
      </w:r>
    </w:p>
    <w:p w14:paraId="00D2628B" w14:textId="77777777" w:rsidR="002E3D3C" w:rsidRDefault="002E3D3C" w:rsidP="00D64409">
      <w:pPr>
        <w:spacing w:after="0" w:line="240" w:lineRule="auto"/>
        <w:rPr>
          <w:rFonts w:ascii="Arial" w:eastAsia="Times New Roman" w:hAnsi="Arial" w:cs="Arial"/>
          <w:sz w:val="24"/>
          <w:szCs w:val="24"/>
          <w:lang w:eastAsia="en-IE"/>
        </w:rPr>
      </w:pPr>
    </w:p>
    <w:p w14:paraId="227E2D48" w14:textId="652412F2" w:rsidR="00B537B1" w:rsidRPr="00B537B1" w:rsidRDefault="002E3D3C" w:rsidP="00B537B1">
      <w:pPr>
        <w:spacing w:after="0" w:line="240" w:lineRule="auto"/>
        <w:rPr>
          <w:rFonts w:ascii="Arial" w:hAnsi="Arial" w:cs="Arial"/>
          <w:sz w:val="24"/>
          <w:szCs w:val="24"/>
        </w:rPr>
      </w:pPr>
      <w:r>
        <w:rPr>
          <w:rFonts w:ascii="Arial" w:eastAsia="Times New Roman" w:hAnsi="Arial" w:cs="Arial"/>
          <w:sz w:val="24"/>
          <w:szCs w:val="24"/>
        </w:rPr>
        <w:t xml:space="preserve">This </w:t>
      </w:r>
      <w:r w:rsidR="00B537B1" w:rsidRPr="00D64409">
        <w:rPr>
          <w:rFonts w:ascii="Arial" w:eastAsia="Times New Roman" w:hAnsi="Arial" w:cs="Arial"/>
          <w:sz w:val="24"/>
          <w:szCs w:val="24"/>
        </w:rPr>
        <w:t xml:space="preserve">delineation </w:t>
      </w:r>
      <w:r>
        <w:rPr>
          <w:rFonts w:ascii="Arial" w:eastAsia="Times New Roman" w:hAnsi="Arial" w:cs="Arial"/>
          <w:sz w:val="24"/>
          <w:szCs w:val="24"/>
        </w:rPr>
        <w:t xml:space="preserve">on </w:t>
      </w:r>
      <w:r w:rsidR="00B537B1" w:rsidRPr="00D64409">
        <w:rPr>
          <w:rFonts w:ascii="Arial" w:eastAsia="Times New Roman" w:hAnsi="Arial" w:cs="Arial"/>
          <w:sz w:val="24"/>
          <w:szCs w:val="24"/>
        </w:rPr>
        <w:t xml:space="preserve">when States are acting within EU law, or not, and whether concurrently bound by the Charter </w:t>
      </w:r>
      <w:r w:rsidR="00B537B1">
        <w:rPr>
          <w:rFonts w:ascii="Arial" w:eastAsia="Times New Roman" w:hAnsi="Arial" w:cs="Arial"/>
          <w:sz w:val="24"/>
          <w:szCs w:val="24"/>
        </w:rPr>
        <w:t xml:space="preserve">is leading to much </w:t>
      </w:r>
      <w:r w:rsidR="00B537B1" w:rsidRPr="00D64409">
        <w:rPr>
          <w:rFonts w:ascii="Arial" w:eastAsia="Times New Roman" w:hAnsi="Arial" w:cs="Arial"/>
          <w:sz w:val="24"/>
          <w:szCs w:val="24"/>
        </w:rPr>
        <w:t xml:space="preserve">case </w:t>
      </w:r>
      <w:r w:rsidR="00B537B1" w:rsidRPr="00B537B1">
        <w:rPr>
          <w:rFonts w:ascii="Arial" w:eastAsia="Times New Roman" w:hAnsi="Arial" w:cs="Arial"/>
          <w:sz w:val="24"/>
          <w:szCs w:val="24"/>
        </w:rPr>
        <w:t>law.</w:t>
      </w:r>
      <w:r w:rsidR="00B537B1" w:rsidRPr="00B537B1">
        <w:rPr>
          <w:rStyle w:val="FootnoteReference"/>
          <w:rFonts w:ascii="Arial" w:eastAsia="Times New Roman" w:hAnsi="Arial" w:cs="Arial"/>
          <w:sz w:val="24"/>
          <w:szCs w:val="24"/>
        </w:rPr>
        <w:footnoteReference w:id="39"/>
      </w:r>
      <w:r w:rsidR="00B537B1" w:rsidRPr="00B537B1">
        <w:rPr>
          <w:rFonts w:ascii="Arial" w:eastAsia="Times New Roman" w:hAnsi="Arial" w:cs="Arial"/>
          <w:sz w:val="24"/>
          <w:szCs w:val="24"/>
        </w:rPr>
        <w:t xml:space="preserve"> </w:t>
      </w:r>
      <w:r w:rsidR="00B537B1" w:rsidRPr="00B537B1">
        <w:rPr>
          <w:rFonts w:ascii="Arial" w:hAnsi="Arial" w:cs="Arial"/>
          <w:sz w:val="24"/>
          <w:szCs w:val="24"/>
        </w:rPr>
        <w:t xml:space="preserve">In </w:t>
      </w:r>
      <w:r w:rsidR="00B537B1" w:rsidRPr="00B537B1">
        <w:rPr>
          <w:rFonts w:ascii="Arial" w:hAnsi="Arial" w:cs="Arial"/>
          <w:i/>
          <w:sz w:val="24"/>
          <w:szCs w:val="24"/>
        </w:rPr>
        <w:t>Fransson</w:t>
      </w:r>
      <w:r w:rsidR="00B537B1" w:rsidRPr="00B537B1">
        <w:rPr>
          <w:rStyle w:val="FootnoteReference"/>
          <w:rFonts w:ascii="Arial" w:hAnsi="Arial" w:cs="Arial"/>
          <w:sz w:val="24"/>
          <w:szCs w:val="24"/>
        </w:rPr>
        <w:footnoteReference w:id="40"/>
      </w:r>
      <w:r w:rsidR="00B537B1" w:rsidRPr="00B537B1">
        <w:rPr>
          <w:rFonts w:ascii="Arial" w:hAnsi="Arial" w:cs="Arial"/>
          <w:sz w:val="24"/>
          <w:szCs w:val="24"/>
        </w:rPr>
        <w:t xml:space="preserve"> the CJEU interpreted the application of EU law and the Charter as meaning that “the fundamental rights granted by the Charter must be complied with where national legislation falls within the scope of European Union law.”</w:t>
      </w:r>
      <w:r w:rsidR="00B537B1" w:rsidRPr="00B537B1">
        <w:rPr>
          <w:rStyle w:val="FootnoteReference"/>
          <w:rFonts w:ascii="Arial" w:hAnsi="Arial" w:cs="Arial"/>
          <w:sz w:val="24"/>
          <w:szCs w:val="24"/>
        </w:rPr>
        <w:footnoteReference w:id="41"/>
      </w:r>
      <w:r w:rsidR="00B537B1" w:rsidRPr="00B537B1">
        <w:rPr>
          <w:rFonts w:ascii="Arial" w:hAnsi="Arial" w:cs="Arial"/>
          <w:sz w:val="24"/>
          <w:szCs w:val="24"/>
        </w:rPr>
        <w:t xml:space="preserve"> In that case, </w:t>
      </w:r>
      <w:r w:rsidR="00B537B1" w:rsidRPr="00B537B1">
        <w:rPr>
          <w:rFonts w:ascii="Arial" w:hAnsi="Arial" w:cs="Arial"/>
          <w:sz w:val="24"/>
          <w:szCs w:val="24"/>
          <w:lang w:val="en-US"/>
        </w:rPr>
        <w:t>the CJEU held that the Swedish rules on penalties and criminal proceedings for breach of tax law should be evaluated for compliance with the Charter.</w:t>
      </w:r>
      <w:r w:rsidR="00B537B1" w:rsidRPr="00B537B1">
        <w:rPr>
          <w:rFonts w:ascii="Arial" w:hAnsi="Arial" w:cs="Arial"/>
          <w:sz w:val="24"/>
          <w:szCs w:val="24"/>
        </w:rPr>
        <w:t xml:space="preserve"> The CJEU observed that the national (Swedish) measure was connected (in part) to infringements of the </w:t>
      </w:r>
      <w:r>
        <w:rPr>
          <w:rFonts w:ascii="Arial" w:hAnsi="Arial" w:cs="Arial"/>
          <w:sz w:val="24"/>
          <w:szCs w:val="24"/>
        </w:rPr>
        <w:t xml:space="preserve">EU </w:t>
      </w:r>
      <w:r w:rsidR="00B537B1" w:rsidRPr="00B537B1">
        <w:rPr>
          <w:rFonts w:ascii="Arial" w:hAnsi="Arial" w:cs="Arial"/>
          <w:sz w:val="24"/>
          <w:szCs w:val="24"/>
        </w:rPr>
        <w:t>VAT Directive, and therefore was designed to implement an obligation imposed on the Member States by EU law “to impose effective penalties for conduct prejudicial to the financial interests of the European Union”. Thus, the CJEU held that national measures, which were connected in part to a specific obligation imposed by EU law on the Member State, fell within the scope of application of EU law, and therefore the Charter was engaged.</w:t>
      </w:r>
      <w:r>
        <w:rPr>
          <w:rFonts w:ascii="Arial" w:hAnsi="Arial" w:cs="Arial"/>
          <w:sz w:val="24"/>
          <w:szCs w:val="24"/>
        </w:rPr>
        <w:t xml:space="preserve"> In this case the Swedish law was in place before the EU law.</w:t>
      </w:r>
    </w:p>
    <w:p w14:paraId="5D9BD55B" w14:textId="77777777" w:rsidR="00B537B1" w:rsidRPr="00B537B1" w:rsidRDefault="00B537B1" w:rsidP="00B537B1">
      <w:pPr>
        <w:pStyle w:val="NormalWeb"/>
        <w:shd w:val="clear" w:color="auto" w:fill="FFFFFF"/>
        <w:spacing w:before="0" w:beforeAutospacing="0" w:after="0" w:afterAutospacing="0"/>
        <w:rPr>
          <w:rFonts w:ascii="Arial" w:hAnsi="Arial" w:cs="Arial"/>
          <w:lang w:val="en-US"/>
        </w:rPr>
      </w:pPr>
    </w:p>
    <w:p w14:paraId="444F2AB5" w14:textId="0AD83D1F" w:rsidR="002E3D3C" w:rsidRDefault="00B537B1" w:rsidP="00817556">
      <w:pPr>
        <w:widowControl w:val="0"/>
        <w:autoSpaceDE w:val="0"/>
        <w:autoSpaceDN w:val="0"/>
        <w:adjustRightInd w:val="0"/>
        <w:spacing w:after="0" w:line="240" w:lineRule="auto"/>
        <w:rPr>
          <w:rFonts w:ascii="Arial" w:hAnsi="Arial" w:cs="Arial"/>
          <w:sz w:val="24"/>
          <w:szCs w:val="24"/>
        </w:rPr>
      </w:pPr>
      <w:r w:rsidRPr="00B537B1">
        <w:rPr>
          <w:rFonts w:ascii="Arial" w:hAnsi="Arial" w:cs="Arial"/>
          <w:sz w:val="24"/>
          <w:szCs w:val="24"/>
        </w:rPr>
        <w:t xml:space="preserve">In </w:t>
      </w:r>
      <w:r w:rsidR="002E3D3C">
        <w:rPr>
          <w:rFonts w:ascii="Arial" w:hAnsi="Arial" w:cs="Arial"/>
          <w:sz w:val="24"/>
          <w:szCs w:val="24"/>
        </w:rPr>
        <w:t xml:space="preserve">other </w:t>
      </w:r>
      <w:r w:rsidRPr="00B537B1">
        <w:rPr>
          <w:rFonts w:ascii="Arial" w:hAnsi="Arial" w:cs="Arial"/>
          <w:sz w:val="24"/>
          <w:szCs w:val="24"/>
        </w:rPr>
        <w:t>recent judgments the CJEU pointed out that the concept of ‘implementation’</w:t>
      </w:r>
      <w:r w:rsidR="00303E3D">
        <w:rPr>
          <w:rFonts w:ascii="Arial" w:hAnsi="Arial" w:cs="Arial"/>
          <w:sz w:val="24"/>
          <w:szCs w:val="24"/>
        </w:rPr>
        <w:t xml:space="preserve"> of EU law </w:t>
      </w:r>
      <w:r w:rsidRPr="00B537B1">
        <w:rPr>
          <w:rFonts w:ascii="Arial" w:hAnsi="Arial" w:cs="Arial"/>
          <w:sz w:val="24"/>
          <w:szCs w:val="24"/>
        </w:rPr>
        <w:t>in Article 51 of the Charter requires a certain degree of connection with EU law. Indeed, the CJEU seems to be distilling national measures into the parts which correspond with EU law, and the parts which do not – the latter not coming “within the scope” of EU law.</w:t>
      </w:r>
      <w:r w:rsidR="00303E3D" w:rsidRPr="00B537B1">
        <w:rPr>
          <w:rStyle w:val="FootnoteReference"/>
          <w:rFonts w:ascii="Arial" w:hAnsi="Arial" w:cs="Arial"/>
          <w:sz w:val="24"/>
          <w:szCs w:val="24"/>
        </w:rPr>
        <w:footnoteReference w:id="42"/>
      </w:r>
    </w:p>
    <w:p w14:paraId="543BABB2" w14:textId="77777777" w:rsidR="002E3D3C" w:rsidRDefault="002E3D3C" w:rsidP="00817556">
      <w:pPr>
        <w:widowControl w:val="0"/>
        <w:autoSpaceDE w:val="0"/>
        <w:autoSpaceDN w:val="0"/>
        <w:adjustRightInd w:val="0"/>
        <w:spacing w:after="0" w:line="240" w:lineRule="auto"/>
        <w:rPr>
          <w:rFonts w:ascii="Arial" w:hAnsi="Arial" w:cs="Arial"/>
          <w:sz w:val="24"/>
          <w:szCs w:val="24"/>
        </w:rPr>
      </w:pPr>
    </w:p>
    <w:p w14:paraId="5D21C083" w14:textId="77777777" w:rsidR="007A3AE1" w:rsidRDefault="0090698E" w:rsidP="007A3AE1">
      <w:pPr>
        <w:widowControl w:val="0"/>
        <w:autoSpaceDE w:val="0"/>
        <w:autoSpaceDN w:val="0"/>
        <w:adjustRightInd w:val="0"/>
        <w:spacing w:after="0" w:line="240" w:lineRule="auto"/>
        <w:rPr>
          <w:rFonts w:ascii="Arial" w:eastAsia="Times New Roman" w:hAnsi="Arial" w:cs="Arial"/>
          <w:sz w:val="24"/>
          <w:szCs w:val="24"/>
        </w:rPr>
      </w:pPr>
      <w:r w:rsidRPr="00B537B1">
        <w:rPr>
          <w:rFonts w:ascii="Arial" w:eastAsia="Times New Roman" w:hAnsi="Arial" w:cs="Arial"/>
          <w:sz w:val="24"/>
          <w:szCs w:val="24"/>
        </w:rPr>
        <w:t xml:space="preserve">The question as to whether national legislation implements EU law was considered in </w:t>
      </w:r>
      <w:r w:rsidRPr="00B537B1">
        <w:rPr>
          <w:rFonts w:ascii="Arial" w:eastAsia="Times New Roman" w:hAnsi="Arial" w:cs="Arial"/>
          <w:i/>
          <w:sz w:val="24"/>
          <w:szCs w:val="24"/>
        </w:rPr>
        <w:t>Julian Hernandez</w:t>
      </w:r>
      <w:r w:rsidRPr="00B537B1">
        <w:rPr>
          <w:rFonts w:ascii="Arial" w:eastAsia="Times New Roman" w:hAnsi="Arial" w:cs="Arial"/>
          <w:sz w:val="24"/>
          <w:szCs w:val="24"/>
        </w:rPr>
        <w:t xml:space="preserve"> [2014]</w:t>
      </w:r>
      <w:r w:rsidR="00B537B1" w:rsidRPr="00B537B1">
        <w:rPr>
          <w:rFonts w:ascii="Arial" w:eastAsia="Times New Roman" w:hAnsi="Arial" w:cs="Arial"/>
          <w:sz w:val="24"/>
          <w:szCs w:val="24"/>
        </w:rPr>
        <w:t>,</w:t>
      </w:r>
      <w:r w:rsidRPr="00B537B1">
        <w:rPr>
          <w:rStyle w:val="FootnoteReference"/>
          <w:rFonts w:ascii="Arial" w:eastAsia="Times New Roman" w:hAnsi="Arial" w:cs="Arial"/>
          <w:sz w:val="24"/>
          <w:szCs w:val="24"/>
        </w:rPr>
        <w:footnoteReference w:id="43"/>
      </w:r>
      <w:r w:rsidRPr="00B537B1">
        <w:rPr>
          <w:rFonts w:ascii="Arial" w:eastAsia="Times New Roman" w:hAnsi="Arial" w:cs="Arial"/>
          <w:sz w:val="24"/>
          <w:szCs w:val="24"/>
        </w:rPr>
        <w:t xml:space="preserve"> where the CJEU held that  in order for national legislation to be regarded as implementing EU law, within the meaning of Article 51 Charter, there must be a connection between a measure of EU law and the national measure at issue, which goes beyond the matters covered being closely related, or one of those matters having an indirect impact on the other. </w:t>
      </w:r>
    </w:p>
    <w:p w14:paraId="1614D27A" w14:textId="77777777" w:rsidR="007A3AE1" w:rsidRDefault="007A3AE1" w:rsidP="007A3AE1">
      <w:pPr>
        <w:widowControl w:val="0"/>
        <w:autoSpaceDE w:val="0"/>
        <w:autoSpaceDN w:val="0"/>
        <w:adjustRightInd w:val="0"/>
        <w:spacing w:after="0" w:line="240" w:lineRule="auto"/>
        <w:rPr>
          <w:rFonts w:ascii="Arial" w:eastAsia="Times New Roman" w:hAnsi="Arial" w:cs="Arial"/>
          <w:sz w:val="24"/>
          <w:szCs w:val="24"/>
        </w:rPr>
      </w:pPr>
    </w:p>
    <w:p w14:paraId="1E152A76" w14:textId="72E353DA" w:rsidR="00817556" w:rsidRPr="00817556" w:rsidRDefault="0090698E" w:rsidP="007A3AE1">
      <w:pPr>
        <w:widowControl w:val="0"/>
        <w:autoSpaceDE w:val="0"/>
        <w:autoSpaceDN w:val="0"/>
        <w:adjustRightInd w:val="0"/>
        <w:spacing w:after="0" w:line="240" w:lineRule="auto"/>
        <w:rPr>
          <w:rFonts w:ascii="Arial" w:eastAsia="Times New Roman" w:hAnsi="Arial" w:cs="Arial"/>
          <w:sz w:val="24"/>
          <w:szCs w:val="24"/>
        </w:rPr>
      </w:pPr>
      <w:r w:rsidRPr="00B537B1">
        <w:rPr>
          <w:rFonts w:ascii="Arial" w:eastAsia="Times New Roman" w:hAnsi="Arial" w:cs="Arial"/>
          <w:sz w:val="24"/>
          <w:szCs w:val="24"/>
        </w:rPr>
        <w:t>The mere fact that a national measure comes within an area in which the E</w:t>
      </w:r>
      <w:r w:rsidR="002E3D3C">
        <w:rPr>
          <w:rFonts w:ascii="Arial" w:eastAsia="Times New Roman" w:hAnsi="Arial" w:cs="Arial"/>
          <w:sz w:val="24"/>
          <w:szCs w:val="24"/>
        </w:rPr>
        <w:t>U</w:t>
      </w:r>
      <w:r w:rsidRPr="00B537B1">
        <w:rPr>
          <w:rFonts w:ascii="Arial" w:eastAsia="Times New Roman" w:hAnsi="Arial" w:cs="Arial"/>
          <w:sz w:val="24"/>
          <w:szCs w:val="24"/>
        </w:rPr>
        <w:t xml:space="preserve"> has powers cannot bring it within the scope of EU law and, therefore, render the Charter applicable. Thus, in order to determine whether a national measure involves the implementation of EU law, it is necessary to determine, </w:t>
      </w:r>
      <w:r w:rsidRPr="00B537B1">
        <w:rPr>
          <w:rFonts w:ascii="Arial" w:eastAsia="Times New Roman" w:hAnsi="Arial" w:cs="Arial"/>
          <w:i/>
          <w:sz w:val="24"/>
          <w:szCs w:val="24"/>
        </w:rPr>
        <w:t>inter alia</w:t>
      </w:r>
      <w:r w:rsidRPr="00B537B1">
        <w:rPr>
          <w:rFonts w:ascii="Arial" w:eastAsia="Times New Roman" w:hAnsi="Arial" w:cs="Arial"/>
          <w:sz w:val="24"/>
          <w:szCs w:val="24"/>
        </w:rPr>
        <w:t xml:space="preserve">, whether the national legislation at issue is intended to implement a provision of EU law; the </w:t>
      </w:r>
      <w:r w:rsidRPr="00B537B1">
        <w:rPr>
          <w:rFonts w:ascii="Arial" w:eastAsia="Times New Roman" w:hAnsi="Arial" w:cs="Arial"/>
          <w:sz w:val="24"/>
          <w:szCs w:val="24"/>
        </w:rPr>
        <w:lastRenderedPageBreak/>
        <w:t>nature of that legislation and whether it pursues objectives other than those covered by EU law, even if it is capable of directly affecting EU law; and, lastly, whether there are specific rules of EU law on the matter or rules which are capable of affecting it.</w:t>
      </w:r>
      <w:r w:rsidRPr="00B537B1">
        <w:rPr>
          <w:rStyle w:val="FootnoteReference"/>
          <w:rFonts w:ascii="Arial" w:eastAsia="Times New Roman" w:hAnsi="Arial" w:cs="Arial"/>
          <w:sz w:val="24"/>
          <w:szCs w:val="24"/>
        </w:rPr>
        <w:footnoteReference w:id="44"/>
      </w:r>
      <w:r w:rsidR="007A3AE1">
        <w:rPr>
          <w:rFonts w:ascii="Arial" w:eastAsia="Times New Roman" w:hAnsi="Arial" w:cs="Arial"/>
          <w:sz w:val="24"/>
          <w:szCs w:val="24"/>
        </w:rPr>
        <w:t xml:space="preserve"> </w:t>
      </w:r>
      <w:r w:rsidR="00817556">
        <w:rPr>
          <w:rFonts w:ascii="Arial" w:eastAsia="Times New Roman" w:hAnsi="Arial" w:cs="Arial"/>
          <w:sz w:val="24"/>
          <w:szCs w:val="24"/>
        </w:rPr>
        <w:t xml:space="preserve">In this case </w:t>
      </w:r>
      <w:r w:rsidR="00817556" w:rsidRPr="00817556">
        <w:rPr>
          <w:rFonts w:ascii="Arial" w:eastAsia="Times New Roman" w:hAnsi="Arial" w:cs="Arial"/>
          <w:sz w:val="24"/>
          <w:szCs w:val="24"/>
        </w:rPr>
        <w:t>the CJEU held that a provision of national law, which merely grants employees more favourable protection resulting from the exercise of the exclusive competence of the Member States, confirmed by the first paragraph of Article 11 of Directive 2008/94, cannot be regarded as coming within the scope of that directive.</w:t>
      </w:r>
      <w:r w:rsidR="00817556" w:rsidRPr="00817556">
        <w:rPr>
          <w:rStyle w:val="FootnoteReference"/>
          <w:rFonts w:ascii="Arial" w:eastAsia="Times New Roman" w:hAnsi="Arial" w:cs="Arial"/>
          <w:sz w:val="24"/>
          <w:szCs w:val="24"/>
        </w:rPr>
        <w:footnoteReference w:id="45"/>
      </w:r>
    </w:p>
    <w:p w14:paraId="69598BAF" w14:textId="77777777" w:rsidR="002E3D3C" w:rsidRDefault="002E3D3C" w:rsidP="0090698E">
      <w:pPr>
        <w:spacing w:after="0" w:line="240" w:lineRule="auto"/>
        <w:rPr>
          <w:rFonts w:ascii="Arial" w:eastAsia="Times New Roman" w:hAnsi="Arial" w:cs="Arial"/>
          <w:sz w:val="24"/>
          <w:szCs w:val="24"/>
        </w:rPr>
      </w:pPr>
    </w:p>
    <w:p w14:paraId="67E4F747" w14:textId="77777777" w:rsidR="0090698E" w:rsidRDefault="0090698E" w:rsidP="0090698E">
      <w:pPr>
        <w:spacing w:after="0" w:line="240" w:lineRule="auto"/>
        <w:rPr>
          <w:rFonts w:ascii="Arial" w:eastAsia="Times New Roman" w:hAnsi="Arial" w:cs="Arial"/>
          <w:b/>
          <w:bCs/>
          <w:i/>
          <w:iCs/>
          <w:sz w:val="24"/>
          <w:szCs w:val="24"/>
        </w:rPr>
      </w:pPr>
      <w:r w:rsidRPr="00113C90">
        <w:rPr>
          <w:rFonts w:ascii="Arial" w:eastAsia="Times New Roman" w:hAnsi="Arial" w:cs="Arial"/>
          <w:sz w:val="24"/>
          <w:szCs w:val="24"/>
        </w:rPr>
        <w:t xml:space="preserve">The European Commission has produced, </w:t>
      </w:r>
      <w:r w:rsidRPr="00113C90">
        <w:rPr>
          <w:rFonts w:ascii="Arial" w:eastAsia="Times New Roman" w:hAnsi="Arial" w:cs="Arial"/>
          <w:bCs/>
          <w:i/>
          <w:iCs/>
          <w:sz w:val="24"/>
          <w:szCs w:val="24"/>
        </w:rPr>
        <w:t xml:space="preserve">A user-friendly tool to detect violations falling within the scope of the EU </w:t>
      </w:r>
      <w:r>
        <w:rPr>
          <w:rFonts w:ascii="Arial" w:eastAsia="Times New Roman" w:hAnsi="Arial" w:cs="Arial"/>
          <w:bCs/>
          <w:i/>
          <w:iCs/>
          <w:sz w:val="24"/>
          <w:szCs w:val="24"/>
        </w:rPr>
        <w:t>Charter</w:t>
      </w:r>
      <w:r w:rsidRPr="00113C90">
        <w:rPr>
          <w:rFonts w:ascii="Arial" w:eastAsia="Times New Roman" w:hAnsi="Arial" w:cs="Arial"/>
          <w:bCs/>
          <w:i/>
          <w:iCs/>
          <w:sz w:val="24"/>
          <w:szCs w:val="24"/>
        </w:rPr>
        <w:t xml:space="preserve"> of Fundamental Rights</w:t>
      </w:r>
      <w:r w:rsidRPr="00113C90">
        <w:rPr>
          <w:rFonts w:ascii="Arial" w:eastAsia="Times New Roman" w:hAnsi="Arial" w:cs="Arial"/>
          <w:sz w:val="24"/>
          <w:szCs w:val="24"/>
        </w:rPr>
        <w:t xml:space="preserve"> - </w:t>
      </w:r>
      <w:r w:rsidRPr="00113C90">
        <w:rPr>
          <w:rFonts w:ascii="Arial" w:eastAsia="Times New Roman" w:hAnsi="Arial" w:cs="Arial"/>
          <w:bCs/>
          <w:i/>
          <w:iCs/>
          <w:sz w:val="24"/>
          <w:szCs w:val="24"/>
        </w:rPr>
        <w:t xml:space="preserve">Don't knock on the wrong door: </w:t>
      </w:r>
      <w:r>
        <w:rPr>
          <w:rFonts w:ascii="Arial" w:eastAsia="Times New Roman" w:hAnsi="Arial" w:cs="Arial"/>
          <w:bCs/>
          <w:i/>
          <w:iCs/>
          <w:sz w:val="24"/>
          <w:szCs w:val="24"/>
        </w:rPr>
        <w:t>Charter</w:t>
      </w:r>
      <w:r w:rsidRPr="00113C90">
        <w:rPr>
          <w:rFonts w:ascii="Arial" w:eastAsia="Times New Roman" w:hAnsi="Arial" w:cs="Arial"/>
          <w:bCs/>
          <w:i/>
          <w:iCs/>
          <w:sz w:val="24"/>
          <w:szCs w:val="24"/>
        </w:rPr>
        <w:t>Click!</w:t>
      </w:r>
      <w:r w:rsidRPr="00113C90">
        <w:rPr>
          <w:rStyle w:val="FootnoteReference"/>
          <w:rFonts w:ascii="Arial" w:eastAsia="Times New Roman" w:hAnsi="Arial" w:cs="Arial"/>
          <w:bCs/>
          <w:i/>
          <w:iCs/>
          <w:sz w:val="24"/>
          <w:szCs w:val="24"/>
        </w:rPr>
        <w:footnoteReference w:id="46"/>
      </w:r>
      <w:r w:rsidRPr="00113C90">
        <w:rPr>
          <w:rFonts w:ascii="Arial" w:eastAsia="Times New Roman" w:hAnsi="Arial" w:cs="Arial"/>
          <w:b/>
          <w:bCs/>
          <w:i/>
          <w:iCs/>
          <w:sz w:val="24"/>
          <w:szCs w:val="24"/>
        </w:rPr>
        <w:t xml:space="preserve"> </w:t>
      </w:r>
    </w:p>
    <w:p w14:paraId="2B509BC8" w14:textId="4E750E03" w:rsidR="002E3D3C" w:rsidRDefault="002E3D3C">
      <w:pPr>
        <w:rPr>
          <w:rFonts w:ascii="Arial" w:eastAsia="Times New Roman" w:hAnsi="Arial" w:cs="Arial"/>
          <w:b/>
          <w:bCs/>
          <w:i/>
          <w:iCs/>
          <w:sz w:val="24"/>
          <w:szCs w:val="24"/>
        </w:rPr>
      </w:pPr>
      <w:r>
        <w:rPr>
          <w:rFonts w:ascii="Arial" w:eastAsia="Times New Roman" w:hAnsi="Arial" w:cs="Arial"/>
          <w:b/>
          <w:bCs/>
          <w:i/>
          <w:iCs/>
          <w:sz w:val="24"/>
          <w:szCs w:val="24"/>
        </w:rPr>
        <w:br w:type="page"/>
      </w:r>
    </w:p>
    <w:p w14:paraId="103DD304" w14:textId="4445EECF" w:rsidR="00B7258E" w:rsidRPr="009E3CCF" w:rsidRDefault="009E3CCF" w:rsidP="00113C90">
      <w:pPr>
        <w:spacing w:after="0" w:line="240" w:lineRule="auto"/>
        <w:rPr>
          <w:rFonts w:ascii="Arial" w:hAnsi="Arial" w:cs="Arial"/>
          <w:b/>
          <w:sz w:val="28"/>
          <w:szCs w:val="28"/>
        </w:rPr>
      </w:pPr>
      <w:r w:rsidRPr="009E3CCF">
        <w:rPr>
          <w:rFonts w:ascii="Arial" w:hAnsi="Arial" w:cs="Arial"/>
          <w:b/>
          <w:sz w:val="28"/>
          <w:szCs w:val="28"/>
        </w:rPr>
        <w:lastRenderedPageBreak/>
        <w:t xml:space="preserve">4. </w:t>
      </w:r>
      <w:r w:rsidR="00151A08" w:rsidRPr="009E3CCF">
        <w:rPr>
          <w:rFonts w:ascii="Arial" w:hAnsi="Arial" w:cs="Arial"/>
          <w:b/>
          <w:sz w:val="28"/>
          <w:szCs w:val="28"/>
        </w:rPr>
        <w:t xml:space="preserve">Interpretation of the </w:t>
      </w:r>
      <w:r w:rsidR="00160C04" w:rsidRPr="009E3CCF">
        <w:rPr>
          <w:rFonts w:ascii="Arial" w:hAnsi="Arial" w:cs="Arial"/>
          <w:b/>
          <w:sz w:val="28"/>
          <w:szCs w:val="28"/>
        </w:rPr>
        <w:t>C</w:t>
      </w:r>
      <w:r w:rsidR="003F3C5E" w:rsidRPr="009E3CCF">
        <w:rPr>
          <w:rFonts w:ascii="Arial" w:hAnsi="Arial" w:cs="Arial"/>
          <w:b/>
          <w:sz w:val="28"/>
          <w:szCs w:val="28"/>
        </w:rPr>
        <w:t>harter</w:t>
      </w:r>
      <w:r w:rsidR="00151A08" w:rsidRPr="009E3CCF">
        <w:rPr>
          <w:rFonts w:ascii="Arial" w:hAnsi="Arial" w:cs="Arial"/>
          <w:b/>
          <w:sz w:val="28"/>
          <w:szCs w:val="28"/>
        </w:rPr>
        <w:t xml:space="preserve"> - k</w:t>
      </w:r>
      <w:r w:rsidR="00B7258E" w:rsidRPr="009E3CCF">
        <w:rPr>
          <w:rFonts w:ascii="Arial" w:hAnsi="Arial" w:cs="Arial"/>
          <w:b/>
          <w:sz w:val="28"/>
          <w:szCs w:val="28"/>
        </w:rPr>
        <w:t xml:space="preserve">ey </w:t>
      </w:r>
      <w:r w:rsidR="001F64EF">
        <w:rPr>
          <w:rFonts w:ascii="Arial" w:hAnsi="Arial" w:cs="Arial"/>
          <w:b/>
          <w:sz w:val="28"/>
          <w:szCs w:val="28"/>
        </w:rPr>
        <w:t>A</w:t>
      </w:r>
      <w:r w:rsidR="00B7258E" w:rsidRPr="009E3CCF">
        <w:rPr>
          <w:rFonts w:ascii="Arial" w:hAnsi="Arial" w:cs="Arial"/>
          <w:b/>
          <w:sz w:val="28"/>
          <w:szCs w:val="28"/>
        </w:rPr>
        <w:t>rticles a</w:t>
      </w:r>
      <w:r w:rsidR="00151A08" w:rsidRPr="009E3CCF">
        <w:rPr>
          <w:rFonts w:ascii="Arial" w:hAnsi="Arial" w:cs="Arial"/>
          <w:b/>
          <w:sz w:val="28"/>
          <w:szCs w:val="28"/>
        </w:rPr>
        <w:t xml:space="preserve">nd links to other </w:t>
      </w:r>
      <w:r w:rsidR="001F64EF">
        <w:rPr>
          <w:rFonts w:ascii="Arial" w:hAnsi="Arial" w:cs="Arial"/>
          <w:b/>
          <w:sz w:val="28"/>
          <w:szCs w:val="28"/>
        </w:rPr>
        <w:t xml:space="preserve">human rights </w:t>
      </w:r>
      <w:r w:rsidR="00151A08" w:rsidRPr="009E3CCF">
        <w:rPr>
          <w:rFonts w:ascii="Arial" w:hAnsi="Arial" w:cs="Arial"/>
          <w:b/>
          <w:sz w:val="28"/>
          <w:szCs w:val="28"/>
        </w:rPr>
        <w:t xml:space="preserve">instruments </w:t>
      </w:r>
    </w:p>
    <w:p w14:paraId="5B8EABA1" w14:textId="77777777" w:rsidR="007B5D16" w:rsidRPr="00113C90" w:rsidRDefault="007B5D16" w:rsidP="00113C90">
      <w:pPr>
        <w:widowControl w:val="0"/>
        <w:autoSpaceDE w:val="0"/>
        <w:autoSpaceDN w:val="0"/>
        <w:adjustRightInd w:val="0"/>
        <w:spacing w:after="0" w:line="240" w:lineRule="auto"/>
        <w:rPr>
          <w:rFonts w:ascii="Arial" w:hAnsi="Arial" w:cs="Arial"/>
          <w:sz w:val="24"/>
          <w:szCs w:val="24"/>
        </w:rPr>
      </w:pPr>
    </w:p>
    <w:p w14:paraId="37D795CF" w14:textId="3046FE51" w:rsidR="003F3C5E" w:rsidRDefault="007B5D16" w:rsidP="00113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4"/>
          <w:szCs w:val="24"/>
          <w:lang w:val="en-US"/>
        </w:rPr>
      </w:pPr>
      <w:r w:rsidRPr="00113C90">
        <w:rPr>
          <w:rFonts w:ascii="Arial" w:hAnsi="Arial" w:cs="Arial"/>
          <w:sz w:val="24"/>
          <w:szCs w:val="24"/>
          <w:lang w:val="en-US"/>
        </w:rPr>
        <w:t xml:space="preserve">One of the unique features of the </w:t>
      </w:r>
      <w:r w:rsidR="00160C04">
        <w:rPr>
          <w:rFonts w:ascii="Arial" w:hAnsi="Arial" w:cs="Arial"/>
          <w:sz w:val="24"/>
          <w:szCs w:val="24"/>
          <w:lang w:val="en-US"/>
        </w:rPr>
        <w:t>C</w:t>
      </w:r>
      <w:r w:rsidR="003F3C5E">
        <w:rPr>
          <w:rFonts w:ascii="Arial" w:hAnsi="Arial" w:cs="Arial"/>
          <w:sz w:val="24"/>
          <w:szCs w:val="24"/>
          <w:lang w:val="en-US"/>
        </w:rPr>
        <w:t>harter</w:t>
      </w:r>
      <w:r w:rsidR="008A6924">
        <w:rPr>
          <w:rFonts w:ascii="Arial" w:hAnsi="Arial" w:cs="Arial"/>
          <w:sz w:val="24"/>
          <w:szCs w:val="24"/>
          <w:lang w:val="en-US"/>
        </w:rPr>
        <w:t xml:space="preserve"> is how it inserts </w:t>
      </w:r>
      <w:r w:rsidR="003E2DB7">
        <w:rPr>
          <w:rFonts w:ascii="Arial" w:hAnsi="Arial" w:cs="Arial"/>
          <w:sz w:val="24"/>
          <w:szCs w:val="24"/>
          <w:lang w:val="en-US"/>
        </w:rPr>
        <w:t xml:space="preserve">the </w:t>
      </w:r>
      <w:r w:rsidRPr="00113C90">
        <w:rPr>
          <w:rFonts w:ascii="Arial" w:hAnsi="Arial" w:cs="Arial"/>
          <w:sz w:val="24"/>
          <w:szCs w:val="24"/>
          <w:lang w:val="en-US"/>
        </w:rPr>
        <w:t>catalogue of international human rights</w:t>
      </w:r>
      <w:r w:rsidR="005E3444">
        <w:rPr>
          <w:rFonts w:ascii="Arial" w:hAnsi="Arial" w:cs="Arial"/>
          <w:sz w:val="24"/>
          <w:szCs w:val="24"/>
          <w:lang w:val="en-US"/>
        </w:rPr>
        <w:t>,</w:t>
      </w:r>
      <w:r w:rsidRPr="00113C90">
        <w:rPr>
          <w:rFonts w:ascii="Arial" w:hAnsi="Arial" w:cs="Arial"/>
          <w:sz w:val="24"/>
          <w:szCs w:val="24"/>
          <w:lang w:val="en-US"/>
        </w:rPr>
        <w:t xml:space="preserve"> </w:t>
      </w:r>
      <w:r w:rsidR="003E2DB7">
        <w:rPr>
          <w:rFonts w:ascii="Arial" w:hAnsi="Arial" w:cs="Arial"/>
          <w:sz w:val="24"/>
          <w:szCs w:val="24"/>
          <w:lang w:val="en-US"/>
        </w:rPr>
        <w:t xml:space="preserve">from </w:t>
      </w:r>
      <w:r w:rsidRPr="00113C90">
        <w:rPr>
          <w:rFonts w:ascii="Arial" w:hAnsi="Arial" w:cs="Arial"/>
          <w:sz w:val="24"/>
          <w:szCs w:val="24"/>
          <w:lang w:val="en-US"/>
        </w:rPr>
        <w:t xml:space="preserve">the Council of Europe and </w:t>
      </w:r>
      <w:r w:rsidR="008A6924">
        <w:rPr>
          <w:rFonts w:ascii="Arial" w:hAnsi="Arial" w:cs="Arial"/>
          <w:sz w:val="24"/>
          <w:szCs w:val="24"/>
          <w:lang w:val="en-US"/>
        </w:rPr>
        <w:t>the UN</w:t>
      </w:r>
      <w:r w:rsidR="005E3444">
        <w:rPr>
          <w:rFonts w:ascii="Arial" w:hAnsi="Arial" w:cs="Arial"/>
          <w:sz w:val="24"/>
          <w:szCs w:val="24"/>
          <w:lang w:val="en-US"/>
        </w:rPr>
        <w:t>,</w:t>
      </w:r>
      <w:r w:rsidR="008A6924">
        <w:rPr>
          <w:rFonts w:ascii="Arial" w:hAnsi="Arial" w:cs="Arial"/>
          <w:sz w:val="24"/>
          <w:szCs w:val="24"/>
          <w:lang w:val="en-US"/>
        </w:rPr>
        <w:t xml:space="preserve"> into </w:t>
      </w:r>
      <w:r w:rsidRPr="00113C90">
        <w:rPr>
          <w:rFonts w:ascii="Arial" w:hAnsi="Arial" w:cs="Arial"/>
          <w:sz w:val="24"/>
          <w:szCs w:val="24"/>
          <w:lang w:val="en-US"/>
        </w:rPr>
        <w:t xml:space="preserve">the framework of binding EU law, </w:t>
      </w:r>
      <w:r w:rsidR="005E3444">
        <w:rPr>
          <w:rFonts w:ascii="Arial" w:hAnsi="Arial" w:cs="Arial"/>
          <w:sz w:val="24"/>
          <w:szCs w:val="24"/>
          <w:lang w:val="en-US"/>
        </w:rPr>
        <w:t xml:space="preserve">once </w:t>
      </w:r>
      <w:r w:rsidRPr="00113C90">
        <w:rPr>
          <w:rFonts w:ascii="Arial" w:hAnsi="Arial" w:cs="Arial"/>
          <w:sz w:val="24"/>
          <w:szCs w:val="24"/>
          <w:lang w:val="en-US"/>
        </w:rPr>
        <w:t xml:space="preserve">the </w:t>
      </w:r>
      <w:r w:rsidR="00160C04">
        <w:rPr>
          <w:rFonts w:ascii="Arial" w:hAnsi="Arial" w:cs="Arial"/>
          <w:sz w:val="24"/>
          <w:szCs w:val="24"/>
          <w:lang w:val="en-US"/>
        </w:rPr>
        <w:t>C</w:t>
      </w:r>
      <w:r w:rsidR="003F3C5E">
        <w:rPr>
          <w:rFonts w:ascii="Arial" w:hAnsi="Arial" w:cs="Arial"/>
          <w:sz w:val="24"/>
          <w:szCs w:val="24"/>
          <w:lang w:val="en-US"/>
        </w:rPr>
        <w:t>harter</w:t>
      </w:r>
      <w:r w:rsidRPr="00113C90">
        <w:rPr>
          <w:rFonts w:ascii="Arial" w:hAnsi="Arial" w:cs="Arial"/>
          <w:sz w:val="24"/>
          <w:szCs w:val="24"/>
          <w:lang w:val="en-US"/>
        </w:rPr>
        <w:t xml:space="preserve"> is engaged. </w:t>
      </w:r>
    </w:p>
    <w:p w14:paraId="29F88A53" w14:textId="77777777" w:rsidR="003F3C5E" w:rsidRDefault="003F3C5E" w:rsidP="00113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4"/>
          <w:szCs w:val="24"/>
          <w:lang w:val="en-US"/>
        </w:rPr>
      </w:pPr>
    </w:p>
    <w:p w14:paraId="63F8BE12" w14:textId="5276447D" w:rsidR="003F3C5E" w:rsidRDefault="007B5D16" w:rsidP="00113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4"/>
          <w:szCs w:val="24"/>
          <w:lang w:val="en-US"/>
        </w:rPr>
      </w:pPr>
      <w:r w:rsidRPr="00113C90">
        <w:rPr>
          <w:rFonts w:ascii="Arial" w:hAnsi="Arial" w:cs="Arial"/>
          <w:sz w:val="24"/>
          <w:szCs w:val="24"/>
          <w:lang w:val="en-US"/>
        </w:rPr>
        <w:t>Art</w:t>
      </w:r>
      <w:r w:rsidR="00DA0796">
        <w:rPr>
          <w:rFonts w:ascii="Arial" w:hAnsi="Arial" w:cs="Arial"/>
          <w:sz w:val="24"/>
          <w:szCs w:val="24"/>
          <w:lang w:val="en-US"/>
        </w:rPr>
        <w:t>icle</w:t>
      </w:r>
      <w:r w:rsidRPr="00113C90">
        <w:rPr>
          <w:rFonts w:ascii="Arial" w:hAnsi="Arial" w:cs="Arial"/>
          <w:sz w:val="24"/>
          <w:szCs w:val="24"/>
          <w:lang w:val="en-US"/>
        </w:rPr>
        <w:t xml:space="preserve"> 52(3) states that</w:t>
      </w:r>
      <w:r w:rsidR="003F3C5E">
        <w:rPr>
          <w:rFonts w:ascii="Arial" w:hAnsi="Arial" w:cs="Arial"/>
          <w:sz w:val="24"/>
          <w:szCs w:val="24"/>
          <w:lang w:val="en-US"/>
        </w:rPr>
        <w:t>:</w:t>
      </w:r>
    </w:p>
    <w:p w14:paraId="281E6B3C" w14:textId="77777777" w:rsidR="003F3C5E" w:rsidRDefault="003F3C5E" w:rsidP="00113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4"/>
          <w:szCs w:val="24"/>
          <w:lang w:val="en-US"/>
        </w:rPr>
      </w:pPr>
    </w:p>
    <w:p w14:paraId="55597F21" w14:textId="4EF41ABC" w:rsidR="007B5D16" w:rsidRPr="001025F8" w:rsidRDefault="007B5D16" w:rsidP="003F3C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rPr>
          <w:rFonts w:ascii="Arial" w:hAnsi="Arial" w:cs="Arial"/>
          <w:lang w:val="en-US"/>
        </w:rPr>
      </w:pPr>
      <w:r w:rsidRPr="001025F8">
        <w:rPr>
          <w:rFonts w:ascii="Arial" w:hAnsi="Arial" w:cs="Arial"/>
          <w:lang w:val="en-US"/>
        </w:rPr>
        <w:t xml:space="preserve">Insofar as this </w:t>
      </w:r>
      <w:r w:rsidR="00160C04" w:rsidRPr="001025F8">
        <w:rPr>
          <w:rFonts w:ascii="Arial" w:hAnsi="Arial" w:cs="Arial"/>
          <w:lang w:val="en-US"/>
        </w:rPr>
        <w:t>Charter</w:t>
      </w:r>
      <w:r w:rsidRPr="001025F8">
        <w:rPr>
          <w:rFonts w:ascii="Arial" w:hAnsi="Arial" w:cs="Arial"/>
          <w:lang w:val="en-US"/>
        </w:rPr>
        <w:t xml:space="preserve"> contains </w:t>
      </w:r>
      <w:r w:rsidR="0043253E" w:rsidRPr="001025F8">
        <w:rPr>
          <w:rFonts w:ascii="Arial" w:hAnsi="Arial" w:cs="Arial"/>
          <w:lang w:val="en-US"/>
        </w:rPr>
        <w:t>rights, which</w:t>
      </w:r>
      <w:r w:rsidRPr="001025F8">
        <w:rPr>
          <w:rFonts w:ascii="Arial" w:hAnsi="Arial" w:cs="Arial"/>
          <w:lang w:val="en-US"/>
        </w:rPr>
        <w:t xml:space="preserve"> correspond to rights guaranteed by the Convention for the Protection of Human Rights and Fundamental Freedoms, the meaning and scope of those rights shall be the same as those laid down by the said Convention. This provision shall not prevent Union law providing more extensive protection.</w:t>
      </w:r>
    </w:p>
    <w:p w14:paraId="37280D76" w14:textId="77777777" w:rsidR="003F3C5E" w:rsidRPr="00113C90" w:rsidRDefault="003F3C5E" w:rsidP="00113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4"/>
          <w:szCs w:val="24"/>
        </w:rPr>
      </w:pPr>
    </w:p>
    <w:p w14:paraId="06972489" w14:textId="2E5A5C61" w:rsidR="007B5D16" w:rsidRDefault="003F3C5E" w:rsidP="00113C90">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T</w:t>
      </w:r>
      <w:r w:rsidR="007B5D16" w:rsidRPr="00113C90">
        <w:rPr>
          <w:rFonts w:ascii="Arial" w:hAnsi="Arial" w:cs="Arial"/>
          <w:sz w:val="24"/>
          <w:szCs w:val="24"/>
        </w:rPr>
        <w:t xml:space="preserve">he level of protection afforded by the </w:t>
      </w:r>
      <w:r w:rsidR="00160C04">
        <w:rPr>
          <w:rFonts w:ascii="Arial" w:hAnsi="Arial" w:cs="Arial"/>
          <w:sz w:val="24"/>
          <w:szCs w:val="24"/>
        </w:rPr>
        <w:t>C</w:t>
      </w:r>
      <w:r>
        <w:rPr>
          <w:rFonts w:ascii="Arial" w:hAnsi="Arial" w:cs="Arial"/>
          <w:sz w:val="24"/>
          <w:szCs w:val="24"/>
        </w:rPr>
        <w:t>harter</w:t>
      </w:r>
      <w:r w:rsidR="007B5D16" w:rsidRPr="00113C90">
        <w:rPr>
          <w:rFonts w:ascii="Arial" w:hAnsi="Arial" w:cs="Arial"/>
          <w:sz w:val="24"/>
          <w:szCs w:val="24"/>
        </w:rPr>
        <w:t xml:space="preserve"> may never be lower than that guaranteed by the ECHR</w:t>
      </w:r>
      <w:r w:rsidR="003E2DB7">
        <w:rPr>
          <w:rFonts w:ascii="Arial" w:hAnsi="Arial" w:cs="Arial"/>
          <w:sz w:val="24"/>
          <w:szCs w:val="24"/>
        </w:rPr>
        <w:t xml:space="preserve"> in a specified area</w:t>
      </w:r>
      <w:r w:rsidR="007B5D16" w:rsidRPr="00113C90">
        <w:rPr>
          <w:rFonts w:ascii="Arial" w:hAnsi="Arial" w:cs="Arial"/>
          <w:sz w:val="24"/>
          <w:szCs w:val="24"/>
        </w:rPr>
        <w:t xml:space="preserve">. </w:t>
      </w:r>
    </w:p>
    <w:p w14:paraId="7820694C" w14:textId="77777777" w:rsidR="007B5D16" w:rsidRPr="00113C90" w:rsidRDefault="007B5D16" w:rsidP="00113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4"/>
          <w:szCs w:val="24"/>
        </w:rPr>
      </w:pPr>
    </w:p>
    <w:p w14:paraId="2E7D35D7" w14:textId="77777777" w:rsidR="005E3444" w:rsidRDefault="002E7EE1" w:rsidP="00113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4"/>
          <w:szCs w:val="24"/>
        </w:rPr>
      </w:pPr>
      <w:r w:rsidRPr="00113C90">
        <w:rPr>
          <w:rFonts w:ascii="Arial" w:hAnsi="Arial" w:cs="Arial"/>
          <w:sz w:val="24"/>
          <w:szCs w:val="24"/>
        </w:rPr>
        <w:t xml:space="preserve">The </w:t>
      </w:r>
      <w:r w:rsidR="00871ECA">
        <w:rPr>
          <w:rFonts w:ascii="Arial" w:hAnsi="Arial" w:cs="Arial"/>
          <w:i/>
          <w:sz w:val="24"/>
          <w:szCs w:val="24"/>
        </w:rPr>
        <w:t>Explanations</w:t>
      </w:r>
      <w:r w:rsidRPr="00113C90">
        <w:rPr>
          <w:rStyle w:val="FootnoteReference"/>
          <w:rFonts w:ascii="Arial" w:hAnsi="Arial" w:cs="Arial"/>
          <w:sz w:val="24"/>
          <w:szCs w:val="24"/>
        </w:rPr>
        <w:footnoteReference w:id="47"/>
      </w:r>
      <w:r w:rsidRPr="00113C90">
        <w:rPr>
          <w:rFonts w:ascii="Arial" w:hAnsi="Arial" w:cs="Arial"/>
          <w:i/>
          <w:sz w:val="24"/>
          <w:szCs w:val="24"/>
        </w:rPr>
        <w:t xml:space="preserve"> </w:t>
      </w:r>
      <w:r w:rsidRPr="00113C90">
        <w:rPr>
          <w:rFonts w:ascii="Arial" w:hAnsi="Arial" w:cs="Arial"/>
          <w:sz w:val="24"/>
          <w:szCs w:val="24"/>
        </w:rPr>
        <w:t xml:space="preserve">provide a list of </w:t>
      </w:r>
      <w:r w:rsidR="00160C04">
        <w:rPr>
          <w:rFonts w:ascii="Arial" w:hAnsi="Arial" w:cs="Arial"/>
          <w:sz w:val="24"/>
          <w:szCs w:val="24"/>
        </w:rPr>
        <w:t>C</w:t>
      </w:r>
      <w:r w:rsidR="00BF4ABE">
        <w:rPr>
          <w:rFonts w:ascii="Arial" w:hAnsi="Arial" w:cs="Arial"/>
          <w:sz w:val="24"/>
          <w:szCs w:val="24"/>
        </w:rPr>
        <w:t>harter</w:t>
      </w:r>
      <w:r w:rsidRPr="00113C90">
        <w:rPr>
          <w:rFonts w:ascii="Arial" w:hAnsi="Arial" w:cs="Arial"/>
          <w:sz w:val="24"/>
          <w:szCs w:val="24"/>
        </w:rPr>
        <w:t xml:space="preserve"> Articles which correspond (totally or partially) with ECHR Articles and other human rights provisions. Since the ECHR jurisprudence is developing separately, the </w:t>
      </w:r>
      <w:r w:rsidR="00871ECA">
        <w:rPr>
          <w:rFonts w:ascii="Arial" w:hAnsi="Arial" w:cs="Arial"/>
          <w:i/>
          <w:sz w:val="24"/>
          <w:szCs w:val="24"/>
        </w:rPr>
        <w:t>Explanations</w:t>
      </w:r>
      <w:r w:rsidRPr="00113C90">
        <w:rPr>
          <w:rFonts w:ascii="Arial" w:hAnsi="Arial" w:cs="Arial"/>
          <w:sz w:val="24"/>
          <w:szCs w:val="24"/>
        </w:rPr>
        <w:t xml:space="preserve"> are critical for maintaining the interactive link </w:t>
      </w:r>
      <w:r w:rsidR="003E2DB7">
        <w:rPr>
          <w:rFonts w:ascii="Arial" w:hAnsi="Arial" w:cs="Arial"/>
          <w:sz w:val="24"/>
          <w:szCs w:val="24"/>
        </w:rPr>
        <w:t xml:space="preserve">with </w:t>
      </w:r>
      <w:r w:rsidR="00160C04">
        <w:rPr>
          <w:rFonts w:ascii="Arial" w:hAnsi="Arial" w:cs="Arial"/>
          <w:sz w:val="24"/>
          <w:szCs w:val="24"/>
        </w:rPr>
        <w:t>C</w:t>
      </w:r>
      <w:r w:rsidR="003F3C5E">
        <w:rPr>
          <w:rFonts w:ascii="Arial" w:hAnsi="Arial" w:cs="Arial"/>
          <w:sz w:val="24"/>
          <w:szCs w:val="24"/>
        </w:rPr>
        <w:t>harter</w:t>
      </w:r>
      <w:r w:rsidRPr="00113C90">
        <w:rPr>
          <w:rFonts w:ascii="Arial" w:hAnsi="Arial" w:cs="Arial"/>
          <w:sz w:val="24"/>
          <w:szCs w:val="24"/>
        </w:rPr>
        <w:t xml:space="preserve"> Articles</w:t>
      </w:r>
      <w:r w:rsidR="003E2DB7">
        <w:rPr>
          <w:rFonts w:ascii="Arial" w:hAnsi="Arial" w:cs="Arial"/>
          <w:sz w:val="24"/>
          <w:szCs w:val="24"/>
        </w:rPr>
        <w:t xml:space="preserve">. </w:t>
      </w:r>
      <w:r w:rsidRPr="00113C90">
        <w:rPr>
          <w:rFonts w:ascii="Arial" w:hAnsi="Arial" w:cs="Arial"/>
          <w:sz w:val="24"/>
          <w:szCs w:val="24"/>
        </w:rPr>
        <w:t>Thus, many hitherto non-binding human rights protections can now become part of  binding EU law. O</w:t>
      </w:r>
      <w:r w:rsidR="00E357CF" w:rsidRPr="00113C90">
        <w:rPr>
          <w:rFonts w:ascii="Arial" w:hAnsi="Arial" w:cs="Arial"/>
          <w:sz w:val="24"/>
          <w:szCs w:val="24"/>
        </w:rPr>
        <w:t xml:space="preserve">nce the </w:t>
      </w:r>
      <w:r w:rsidR="00160C04">
        <w:rPr>
          <w:rFonts w:ascii="Arial" w:hAnsi="Arial" w:cs="Arial"/>
          <w:sz w:val="24"/>
          <w:szCs w:val="24"/>
        </w:rPr>
        <w:t>C</w:t>
      </w:r>
      <w:r w:rsidR="00742739">
        <w:rPr>
          <w:rFonts w:ascii="Arial" w:hAnsi="Arial" w:cs="Arial"/>
          <w:sz w:val="24"/>
          <w:szCs w:val="24"/>
        </w:rPr>
        <w:t xml:space="preserve">harter </w:t>
      </w:r>
      <w:r w:rsidR="00E357CF" w:rsidRPr="00113C90">
        <w:rPr>
          <w:rFonts w:ascii="Arial" w:hAnsi="Arial" w:cs="Arial"/>
          <w:sz w:val="24"/>
          <w:szCs w:val="24"/>
        </w:rPr>
        <w:t>is engaged or triggered by the application of a</w:t>
      </w:r>
      <w:r w:rsidRPr="00113C90">
        <w:rPr>
          <w:rFonts w:ascii="Arial" w:hAnsi="Arial" w:cs="Arial"/>
          <w:sz w:val="24"/>
          <w:szCs w:val="24"/>
        </w:rPr>
        <w:t xml:space="preserve">n (non </w:t>
      </w:r>
      <w:r w:rsidR="00160C04">
        <w:rPr>
          <w:rFonts w:ascii="Arial" w:hAnsi="Arial" w:cs="Arial"/>
          <w:sz w:val="24"/>
          <w:szCs w:val="24"/>
        </w:rPr>
        <w:t>C</w:t>
      </w:r>
      <w:r w:rsidR="00742739">
        <w:rPr>
          <w:rFonts w:ascii="Arial" w:hAnsi="Arial" w:cs="Arial"/>
          <w:sz w:val="24"/>
          <w:szCs w:val="24"/>
        </w:rPr>
        <w:t>harter</w:t>
      </w:r>
      <w:r w:rsidRPr="00113C90">
        <w:rPr>
          <w:rFonts w:ascii="Arial" w:hAnsi="Arial" w:cs="Arial"/>
          <w:sz w:val="24"/>
          <w:szCs w:val="24"/>
        </w:rPr>
        <w:t xml:space="preserve">) </w:t>
      </w:r>
      <w:r w:rsidR="00E357CF" w:rsidRPr="00113C90">
        <w:rPr>
          <w:rFonts w:ascii="Arial" w:hAnsi="Arial" w:cs="Arial"/>
          <w:sz w:val="24"/>
          <w:szCs w:val="24"/>
        </w:rPr>
        <w:t xml:space="preserve">EU law rule, the jurisprudence of the </w:t>
      </w:r>
      <w:r w:rsidR="00160C04">
        <w:rPr>
          <w:rFonts w:ascii="Arial" w:hAnsi="Arial" w:cs="Arial"/>
          <w:sz w:val="24"/>
          <w:szCs w:val="24"/>
        </w:rPr>
        <w:t>C</w:t>
      </w:r>
      <w:r w:rsidR="00742739">
        <w:rPr>
          <w:rFonts w:ascii="Arial" w:hAnsi="Arial" w:cs="Arial"/>
          <w:sz w:val="24"/>
          <w:szCs w:val="24"/>
        </w:rPr>
        <w:t>harter</w:t>
      </w:r>
      <w:r w:rsidR="000B2907" w:rsidRPr="00113C90">
        <w:rPr>
          <w:rFonts w:ascii="Arial" w:hAnsi="Arial" w:cs="Arial"/>
          <w:sz w:val="24"/>
          <w:szCs w:val="24"/>
        </w:rPr>
        <w:t xml:space="preserve"> and its </w:t>
      </w:r>
      <w:r w:rsidR="00E357CF" w:rsidRPr="00113C90">
        <w:rPr>
          <w:rFonts w:ascii="Arial" w:hAnsi="Arial" w:cs="Arial"/>
          <w:sz w:val="24"/>
          <w:szCs w:val="24"/>
        </w:rPr>
        <w:t xml:space="preserve">corresponding ECHR rights becomes active. This opens up a valuable </w:t>
      </w:r>
      <w:r w:rsidR="000B2907" w:rsidRPr="00113C90">
        <w:rPr>
          <w:rFonts w:ascii="Arial" w:hAnsi="Arial" w:cs="Arial"/>
          <w:sz w:val="24"/>
          <w:szCs w:val="24"/>
        </w:rPr>
        <w:t>source</w:t>
      </w:r>
      <w:r w:rsidR="00E357CF" w:rsidRPr="00113C90">
        <w:rPr>
          <w:rFonts w:ascii="Arial" w:hAnsi="Arial" w:cs="Arial"/>
          <w:sz w:val="24"/>
          <w:szCs w:val="24"/>
        </w:rPr>
        <w:t xml:space="preserve"> of jurisprudence</w:t>
      </w:r>
      <w:r w:rsidR="000B2907" w:rsidRPr="00113C90">
        <w:rPr>
          <w:rFonts w:ascii="Arial" w:hAnsi="Arial" w:cs="Arial"/>
          <w:sz w:val="24"/>
          <w:szCs w:val="24"/>
        </w:rPr>
        <w:t xml:space="preserve"> for EU law</w:t>
      </w:r>
      <w:r w:rsidR="005E3444">
        <w:rPr>
          <w:rFonts w:ascii="Arial" w:hAnsi="Arial" w:cs="Arial"/>
          <w:sz w:val="24"/>
          <w:szCs w:val="24"/>
        </w:rPr>
        <w:t xml:space="preserve">. </w:t>
      </w:r>
      <w:r w:rsidR="003E2DB7">
        <w:rPr>
          <w:rFonts w:ascii="Arial" w:hAnsi="Arial" w:cs="Arial"/>
          <w:sz w:val="24"/>
          <w:szCs w:val="24"/>
        </w:rPr>
        <w:t>However, t</w:t>
      </w:r>
      <w:r w:rsidR="000B2907" w:rsidRPr="00113C90">
        <w:rPr>
          <w:rFonts w:ascii="Arial" w:hAnsi="Arial" w:cs="Arial"/>
          <w:sz w:val="24"/>
          <w:szCs w:val="24"/>
        </w:rPr>
        <w:t xml:space="preserve">o date, this has only been lightly developed </w:t>
      </w:r>
      <w:r w:rsidR="00E357CF" w:rsidRPr="00113C90">
        <w:rPr>
          <w:rFonts w:ascii="Arial" w:hAnsi="Arial" w:cs="Arial"/>
          <w:sz w:val="24"/>
          <w:szCs w:val="24"/>
        </w:rPr>
        <w:t xml:space="preserve">in debt-related areas, principally </w:t>
      </w:r>
      <w:r w:rsidR="000B2907" w:rsidRPr="00113C90">
        <w:rPr>
          <w:rFonts w:ascii="Arial" w:hAnsi="Arial" w:cs="Arial"/>
          <w:sz w:val="24"/>
          <w:szCs w:val="24"/>
        </w:rPr>
        <w:t xml:space="preserve">in relation to </w:t>
      </w:r>
      <w:r w:rsidR="00160C04">
        <w:rPr>
          <w:rFonts w:ascii="Arial" w:hAnsi="Arial" w:cs="Arial"/>
          <w:sz w:val="24"/>
          <w:szCs w:val="24"/>
        </w:rPr>
        <w:t>C</w:t>
      </w:r>
      <w:r w:rsidR="00742739">
        <w:rPr>
          <w:rFonts w:ascii="Arial" w:hAnsi="Arial" w:cs="Arial"/>
          <w:sz w:val="24"/>
          <w:szCs w:val="24"/>
        </w:rPr>
        <w:t>harter</w:t>
      </w:r>
      <w:r w:rsidR="000B2907" w:rsidRPr="00113C90">
        <w:rPr>
          <w:rFonts w:ascii="Arial" w:hAnsi="Arial" w:cs="Arial"/>
          <w:sz w:val="24"/>
          <w:szCs w:val="24"/>
        </w:rPr>
        <w:t xml:space="preserve"> </w:t>
      </w:r>
      <w:r w:rsidR="00E357CF" w:rsidRPr="00113C90">
        <w:rPr>
          <w:rFonts w:ascii="Arial" w:hAnsi="Arial" w:cs="Arial"/>
          <w:sz w:val="24"/>
          <w:szCs w:val="24"/>
        </w:rPr>
        <w:t>Articles 7, 38 and 47.</w:t>
      </w:r>
      <w:r w:rsidR="00E357CF" w:rsidRPr="00113C90">
        <w:rPr>
          <w:rStyle w:val="FootnoteReference"/>
          <w:rFonts w:ascii="Arial" w:hAnsi="Arial" w:cs="Arial"/>
          <w:sz w:val="24"/>
          <w:szCs w:val="24"/>
        </w:rPr>
        <w:footnoteReference w:id="48"/>
      </w:r>
      <w:r w:rsidR="00E357CF" w:rsidRPr="00113C90">
        <w:rPr>
          <w:rFonts w:ascii="Arial" w:hAnsi="Arial" w:cs="Arial"/>
          <w:sz w:val="24"/>
          <w:szCs w:val="24"/>
        </w:rPr>
        <w:t xml:space="preserve"> </w:t>
      </w:r>
    </w:p>
    <w:p w14:paraId="2618A481" w14:textId="77777777" w:rsidR="005E3444" w:rsidRDefault="005E3444" w:rsidP="00113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4"/>
          <w:szCs w:val="24"/>
        </w:rPr>
      </w:pPr>
    </w:p>
    <w:p w14:paraId="00A0CFCB" w14:textId="1487501A" w:rsidR="007330A4" w:rsidRPr="006B2DC0" w:rsidRDefault="00E357CF" w:rsidP="00113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sz w:val="24"/>
          <w:szCs w:val="24"/>
        </w:rPr>
      </w:pPr>
      <w:r w:rsidRPr="006B2DC0">
        <w:rPr>
          <w:rFonts w:ascii="Arial" w:hAnsi="Arial" w:cs="Arial"/>
          <w:b/>
          <w:sz w:val="24"/>
          <w:szCs w:val="24"/>
        </w:rPr>
        <w:t>A</w:t>
      </w:r>
      <w:r w:rsidR="000B2907" w:rsidRPr="006B2DC0">
        <w:rPr>
          <w:rFonts w:ascii="Arial" w:hAnsi="Arial" w:cs="Arial"/>
          <w:b/>
          <w:sz w:val="24"/>
          <w:szCs w:val="24"/>
        </w:rPr>
        <w:t xml:space="preserve"> more detailed outline </w:t>
      </w:r>
      <w:r w:rsidRPr="006B2DC0">
        <w:rPr>
          <w:rFonts w:ascii="Arial" w:hAnsi="Arial" w:cs="Arial"/>
          <w:b/>
          <w:sz w:val="24"/>
          <w:szCs w:val="24"/>
        </w:rPr>
        <w:t xml:space="preserve">of these interactive </w:t>
      </w:r>
      <w:r w:rsidR="00160C04" w:rsidRPr="006B2DC0">
        <w:rPr>
          <w:rFonts w:ascii="Arial" w:hAnsi="Arial" w:cs="Arial"/>
          <w:b/>
          <w:sz w:val="24"/>
          <w:szCs w:val="24"/>
        </w:rPr>
        <w:t>C</w:t>
      </w:r>
      <w:r w:rsidR="00742739" w:rsidRPr="006B2DC0">
        <w:rPr>
          <w:rFonts w:ascii="Arial" w:hAnsi="Arial" w:cs="Arial"/>
          <w:b/>
          <w:sz w:val="24"/>
          <w:szCs w:val="24"/>
        </w:rPr>
        <w:t>harter</w:t>
      </w:r>
      <w:r w:rsidR="000B2907" w:rsidRPr="006B2DC0">
        <w:rPr>
          <w:rFonts w:ascii="Arial" w:hAnsi="Arial" w:cs="Arial"/>
          <w:b/>
          <w:sz w:val="24"/>
          <w:szCs w:val="24"/>
        </w:rPr>
        <w:t xml:space="preserve"> Articles </w:t>
      </w:r>
      <w:r w:rsidRPr="006B2DC0">
        <w:rPr>
          <w:rFonts w:ascii="Arial" w:hAnsi="Arial" w:cs="Arial"/>
          <w:b/>
          <w:sz w:val="24"/>
          <w:szCs w:val="24"/>
        </w:rPr>
        <w:t xml:space="preserve">shows the potential for development of </w:t>
      </w:r>
      <w:r w:rsidR="008A6924" w:rsidRPr="006B2DC0">
        <w:rPr>
          <w:rFonts w:ascii="Arial" w:hAnsi="Arial" w:cs="Arial"/>
          <w:b/>
          <w:sz w:val="24"/>
          <w:szCs w:val="24"/>
        </w:rPr>
        <w:t xml:space="preserve">Charter-based </w:t>
      </w:r>
      <w:r w:rsidR="000B2907" w:rsidRPr="006B2DC0">
        <w:rPr>
          <w:rFonts w:ascii="Arial" w:hAnsi="Arial" w:cs="Arial"/>
          <w:b/>
          <w:sz w:val="24"/>
          <w:szCs w:val="24"/>
        </w:rPr>
        <w:t xml:space="preserve">human rights </w:t>
      </w:r>
      <w:r w:rsidRPr="006B2DC0">
        <w:rPr>
          <w:rFonts w:ascii="Arial" w:hAnsi="Arial" w:cs="Arial"/>
          <w:b/>
          <w:sz w:val="24"/>
          <w:szCs w:val="24"/>
        </w:rPr>
        <w:t>protection</w:t>
      </w:r>
      <w:r w:rsidR="008A6924" w:rsidRPr="006B2DC0">
        <w:rPr>
          <w:rFonts w:ascii="Arial" w:hAnsi="Arial" w:cs="Arial"/>
          <w:b/>
          <w:sz w:val="24"/>
          <w:szCs w:val="24"/>
        </w:rPr>
        <w:t xml:space="preserve">. </w:t>
      </w:r>
      <w:r w:rsidR="000B2907" w:rsidRPr="006B2DC0">
        <w:rPr>
          <w:rFonts w:ascii="Arial" w:hAnsi="Arial" w:cs="Arial"/>
          <w:b/>
          <w:sz w:val="24"/>
          <w:szCs w:val="24"/>
        </w:rPr>
        <w:t xml:space="preserve"> </w:t>
      </w:r>
    </w:p>
    <w:p w14:paraId="1CDA1EC4" w14:textId="77777777" w:rsidR="00D64409" w:rsidRDefault="00D64409" w:rsidP="00113C90">
      <w:pPr>
        <w:widowControl w:val="0"/>
        <w:autoSpaceDE w:val="0"/>
        <w:autoSpaceDN w:val="0"/>
        <w:adjustRightInd w:val="0"/>
        <w:spacing w:after="0" w:line="240" w:lineRule="auto"/>
        <w:rPr>
          <w:rFonts w:ascii="Arial" w:hAnsi="Arial" w:cs="Arial"/>
          <w:i/>
          <w:color w:val="000000"/>
          <w:sz w:val="24"/>
          <w:szCs w:val="24"/>
        </w:rPr>
      </w:pPr>
    </w:p>
    <w:p w14:paraId="53BC3686" w14:textId="766F075B" w:rsidR="00B7258E" w:rsidRPr="00113C90" w:rsidRDefault="00B7258E" w:rsidP="00113C90">
      <w:pPr>
        <w:widowControl w:val="0"/>
        <w:autoSpaceDE w:val="0"/>
        <w:autoSpaceDN w:val="0"/>
        <w:adjustRightInd w:val="0"/>
        <w:spacing w:after="0" w:line="240" w:lineRule="auto"/>
        <w:rPr>
          <w:rFonts w:ascii="Arial" w:hAnsi="Arial" w:cs="Arial"/>
          <w:sz w:val="24"/>
          <w:szCs w:val="24"/>
        </w:rPr>
      </w:pPr>
      <w:r w:rsidRPr="00113C90">
        <w:rPr>
          <w:rFonts w:ascii="Arial" w:hAnsi="Arial" w:cs="Arial"/>
          <w:sz w:val="24"/>
          <w:szCs w:val="24"/>
        </w:rPr>
        <w:t xml:space="preserve">Article 4 </w:t>
      </w:r>
      <w:r w:rsidR="00742739">
        <w:rPr>
          <w:rFonts w:ascii="Arial" w:hAnsi="Arial" w:cs="Arial"/>
          <w:sz w:val="24"/>
          <w:szCs w:val="24"/>
        </w:rPr>
        <w:t>of the Charter which</w:t>
      </w:r>
      <w:r w:rsidRPr="00113C90">
        <w:rPr>
          <w:rFonts w:ascii="Arial" w:hAnsi="Arial" w:cs="Arial"/>
          <w:sz w:val="24"/>
          <w:szCs w:val="24"/>
        </w:rPr>
        <w:t xml:space="preserve"> states that “No one shall be subjected to torture or to inhuman or degrading treatment or punishment</w:t>
      </w:r>
      <w:r w:rsidR="000B2907" w:rsidRPr="00113C90">
        <w:rPr>
          <w:rFonts w:ascii="Arial" w:hAnsi="Arial" w:cs="Arial"/>
          <w:sz w:val="24"/>
          <w:szCs w:val="24"/>
        </w:rPr>
        <w:t>,</w:t>
      </w:r>
      <w:r w:rsidRPr="00113C90">
        <w:rPr>
          <w:rFonts w:ascii="Arial" w:hAnsi="Arial" w:cs="Arial"/>
          <w:sz w:val="24"/>
          <w:szCs w:val="24"/>
        </w:rPr>
        <w:t>” corresp</w:t>
      </w:r>
      <w:r w:rsidR="000B2907" w:rsidRPr="00113C90">
        <w:rPr>
          <w:rFonts w:ascii="Arial" w:hAnsi="Arial" w:cs="Arial"/>
          <w:sz w:val="24"/>
          <w:szCs w:val="24"/>
        </w:rPr>
        <w:t xml:space="preserve">onds with Article 3 of the ECHR. A </w:t>
      </w:r>
      <w:r w:rsidRPr="00113C90">
        <w:rPr>
          <w:rFonts w:ascii="Arial" w:hAnsi="Arial" w:cs="Arial"/>
          <w:sz w:val="24"/>
          <w:szCs w:val="24"/>
        </w:rPr>
        <w:t xml:space="preserve">number of housing obligations have been interpreted as arising from </w:t>
      </w:r>
      <w:r w:rsidR="000B2907" w:rsidRPr="00113C90">
        <w:rPr>
          <w:rFonts w:ascii="Arial" w:hAnsi="Arial" w:cs="Arial"/>
          <w:sz w:val="24"/>
          <w:szCs w:val="24"/>
        </w:rPr>
        <w:t>Article 3 ECHR</w:t>
      </w:r>
      <w:r w:rsidRPr="00113C90">
        <w:rPr>
          <w:rFonts w:ascii="Arial" w:hAnsi="Arial" w:cs="Arial"/>
          <w:sz w:val="24"/>
          <w:szCs w:val="24"/>
        </w:rPr>
        <w:t>.</w:t>
      </w:r>
      <w:r w:rsidRPr="00113C90">
        <w:rPr>
          <w:rStyle w:val="FootnoteReference"/>
          <w:rFonts w:ascii="Arial" w:hAnsi="Arial" w:cs="Arial"/>
          <w:sz w:val="24"/>
          <w:szCs w:val="24"/>
        </w:rPr>
        <w:footnoteReference w:id="49"/>
      </w:r>
      <w:r w:rsidRPr="00113C90">
        <w:rPr>
          <w:rFonts w:ascii="Arial" w:hAnsi="Arial" w:cs="Arial"/>
          <w:sz w:val="24"/>
          <w:szCs w:val="24"/>
        </w:rPr>
        <w:t xml:space="preserve"> This has been held to create a positive obligation on States to ensure that a minimum level of </w:t>
      </w:r>
      <w:r w:rsidR="00DD5C2F">
        <w:rPr>
          <w:rFonts w:ascii="Arial" w:hAnsi="Arial" w:cs="Arial"/>
          <w:sz w:val="24"/>
          <w:szCs w:val="24"/>
        </w:rPr>
        <w:t xml:space="preserve">shelter and </w:t>
      </w:r>
      <w:r w:rsidRPr="00113C90">
        <w:rPr>
          <w:rFonts w:ascii="Arial" w:hAnsi="Arial" w:cs="Arial"/>
          <w:sz w:val="24"/>
          <w:szCs w:val="24"/>
        </w:rPr>
        <w:t>other assistance is available to everyone in the territory of the State.</w:t>
      </w:r>
      <w:r w:rsidRPr="00113C90">
        <w:rPr>
          <w:rStyle w:val="FootnoteReference"/>
          <w:rFonts w:ascii="Arial" w:hAnsi="Arial" w:cs="Arial"/>
          <w:sz w:val="24"/>
          <w:szCs w:val="24"/>
        </w:rPr>
        <w:footnoteReference w:id="50"/>
      </w:r>
      <w:r w:rsidRPr="00113C90">
        <w:rPr>
          <w:rFonts w:ascii="Arial" w:hAnsi="Arial" w:cs="Arial"/>
          <w:sz w:val="24"/>
          <w:szCs w:val="24"/>
        </w:rPr>
        <w:t xml:space="preserve"> </w:t>
      </w:r>
    </w:p>
    <w:p w14:paraId="768487A5" w14:textId="77777777" w:rsidR="00B7258E" w:rsidRPr="00113C90" w:rsidRDefault="00B7258E" w:rsidP="00113C90">
      <w:pPr>
        <w:spacing w:after="0" w:line="240" w:lineRule="auto"/>
        <w:rPr>
          <w:rFonts w:ascii="Arial" w:hAnsi="Arial" w:cs="Arial"/>
          <w:sz w:val="24"/>
          <w:szCs w:val="24"/>
        </w:rPr>
      </w:pPr>
    </w:p>
    <w:p w14:paraId="5187D2A5" w14:textId="1749B00B" w:rsidR="00E26D20" w:rsidRDefault="00B7258E" w:rsidP="00113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lang w:val="en-US"/>
        </w:rPr>
      </w:pPr>
      <w:r w:rsidRPr="00113C90">
        <w:rPr>
          <w:rFonts w:ascii="Arial" w:hAnsi="Arial" w:cs="Arial"/>
          <w:sz w:val="24"/>
          <w:szCs w:val="24"/>
        </w:rPr>
        <w:t xml:space="preserve">Article 7 of the </w:t>
      </w:r>
      <w:r w:rsidR="00160C04">
        <w:rPr>
          <w:rFonts w:ascii="Arial" w:hAnsi="Arial" w:cs="Arial"/>
          <w:sz w:val="24"/>
          <w:szCs w:val="24"/>
        </w:rPr>
        <w:t>C</w:t>
      </w:r>
      <w:r w:rsidR="00742739">
        <w:rPr>
          <w:rFonts w:ascii="Arial" w:hAnsi="Arial" w:cs="Arial"/>
          <w:sz w:val="24"/>
          <w:szCs w:val="24"/>
        </w:rPr>
        <w:t>harter</w:t>
      </w:r>
      <w:r w:rsidR="000B2907" w:rsidRPr="00113C90">
        <w:rPr>
          <w:rFonts w:ascii="Arial" w:hAnsi="Arial" w:cs="Arial"/>
          <w:sz w:val="24"/>
          <w:szCs w:val="24"/>
        </w:rPr>
        <w:t xml:space="preserve"> </w:t>
      </w:r>
      <w:r w:rsidRPr="00113C90">
        <w:rPr>
          <w:rFonts w:ascii="Arial" w:hAnsi="Arial" w:cs="Arial"/>
          <w:sz w:val="24"/>
          <w:szCs w:val="24"/>
        </w:rPr>
        <w:t>which states that “Everyone has the right to respect for his or her private and family life, home and communications</w:t>
      </w:r>
      <w:r w:rsidR="000B2907" w:rsidRPr="00113C90">
        <w:rPr>
          <w:rFonts w:ascii="Arial" w:hAnsi="Arial" w:cs="Arial"/>
          <w:sz w:val="24"/>
          <w:szCs w:val="24"/>
        </w:rPr>
        <w:t>,</w:t>
      </w:r>
      <w:r w:rsidRPr="00113C90">
        <w:rPr>
          <w:rFonts w:ascii="Arial" w:hAnsi="Arial" w:cs="Arial"/>
          <w:sz w:val="24"/>
          <w:szCs w:val="24"/>
        </w:rPr>
        <w:t xml:space="preserve">” corresponds with Article 8 of </w:t>
      </w:r>
      <w:r w:rsidRPr="00113C90">
        <w:rPr>
          <w:rFonts w:ascii="Arial" w:hAnsi="Arial" w:cs="Arial"/>
          <w:sz w:val="24"/>
          <w:szCs w:val="24"/>
        </w:rPr>
        <w:lastRenderedPageBreak/>
        <w:t>the ECHR.</w:t>
      </w:r>
      <w:r w:rsidRPr="00113C90">
        <w:rPr>
          <w:rStyle w:val="FootnoteReference"/>
          <w:rFonts w:ascii="Arial" w:hAnsi="Arial" w:cs="Arial"/>
          <w:sz w:val="24"/>
          <w:szCs w:val="24"/>
        </w:rPr>
        <w:footnoteReference w:id="51"/>
      </w:r>
      <w:r w:rsidRPr="00113C90">
        <w:rPr>
          <w:rFonts w:ascii="Arial" w:hAnsi="Arial" w:cs="Arial"/>
          <w:sz w:val="24"/>
          <w:szCs w:val="24"/>
        </w:rPr>
        <w:t xml:space="preserve"> Consequently, the </w:t>
      </w:r>
      <w:r w:rsidR="000B2907" w:rsidRPr="00113C90">
        <w:rPr>
          <w:rFonts w:ascii="Arial" w:hAnsi="Arial" w:cs="Arial"/>
          <w:sz w:val="24"/>
          <w:szCs w:val="24"/>
        </w:rPr>
        <w:t xml:space="preserve">protections created by this Article </w:t>
      </w:r>
      <w:r w:rsidRPr="00113C90">
        <w:rPr>
          <w:rFonts w:ascii="Arial" w:hAnsi="Arial" w:cs="Arial"/>
          <w:sz w:val="24"/>
          <w:szCs w:val="24"/>
        </w:rPr>
        <w:t xml:space="preserve">are the same as </w:t>
      </w:r>
      <w:r w:rsidRPr="00E26D20">
        <w:rPr>
          <w:rFonts w:ascii="Arial" w:hAnsi="Arial" w:cs="Arial"/>
          <w:sz w:val="24"/>
          <w:szCs w:val="24"/>
        </w:rPr>
        <w:t xml:space="preserve">those </w:t>
      </w:r>
      <w:r w:rsidR="000B2907" w:rsidRPr="00E26D20">
        <w:rPr>
          <w:rFonts w:ascii="Arial" w:hAnsi="Arial" w:cs="Arial"/>
          <w:sz w:val="24"/>
          <w:szCs w:val="24"/>
        </w:rPr>
        <w:t xml:space="preserve">already accepted by the European Court of Human Rights (ECtHR) for </w:t>
      </w:r>
      <w:r w:rsidRPr="00E26D20">
        <w:rPr>
          <w:rFonts w:ascii="Arial" w:hAnsi="Arial" w:cs="Arial"/>
          <w:sz w:val="24"/>
          <w:szCs w:val="24"/>
        </w:rPr>
        <w:t xml:space="preserve">Article 8 ECHR. </w:t>
      </w:r>
      <w:r w:rsidR="000B2907" w:rsidRPr="00E26D20">
        <w:rPr>
          <w:rFonts w:ascii="Arial" w:hAnsi="Arial" w:cs="Arial"/>
          <w:sz w:val="24"/>
          <w:szCs w:val="24"/>
        </w:rPr>
        <w:t xml:space="preserve"> </w:t>
      </w:r>
      <w:r w:rsidR="00E26D20" w:rsidRPr="00E26D20">
        <w:rPr>
          <w:rFonts w:ascii="Arial" w:hAnsi="Arial" w:cs="Arial"/>
          <w:sz w:val="24"/>
          <w:szCs w:val="24"/>
          <w:lang w:val="en-US"/>
        </w:rPr>
        <w:t xml:space="preserve">The Convention case-law is clear on the point that the concept of “home” within the meaning of Article 8 is not limited to those premises which are lawfully occupied or which have been lawfully established. “Home” is an autonomous </w:t>
      </w:r>
      <w:r w:rsidR="00046482" w:rsidRPr="00E26D20">
        <w:rPr>
          <w:rFonts w:ascii="Arial" w:hAnsi="Arial" w:cs="Arial"/>
          <w:sz w:val="24"/>
          <w:szCs w:val="24"/>
          <w:lang w:val="en-US"/>
        </w:rPr>
        <w:t>concept, which</w:t>
      </w:r>
      <w:r w:rsidR="00E26D20" w:rsidRPr="00E26D20">
        <w:rPr>
          <w:rFonts w:ascii="Arial" w:hAnsi="Arial" w:cs="Arial"/>
          <w:sz w:val="24"/>
          <w:szCs w:val="24"/>
          <w:lang w:val="en-US"/>
        </w:rPr>
        <w:t xml:space="preserve"> does not depend on classification under domestic law.</w:t>
      </w:r>
      <w:r w:rsidR="00E26D20">
        <w:rPr>
          <w:rFonts w:ascii="Times New Roman" w:hAnsi="Times New Roman" w:cs="Times New Roman"/>
          <w:sz w:val="24"/>
          <w:szCs w:val="24"/>
          <w:lang w:val="en-US"/>
        </w:rPr>
        <w:t xml:space="preserve"> </w:t>
      </w:r>
    </w:p>
    <w:p w14:paraId="058FF978" w14:textId="77777777" w:rsidR="00E26D20" w:rsidRDefault="00E26D20" w:rsidP="00113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lang w:val="en-US"/>
        </w:rPr>
      </w:pPr>
    </w:p>
    <w:p w14:paraId="79EC1263" w14:textId="62A8ECC4" w:rsidR="00E26D20" w:rsidRPr="00E26D20" w:rsidRDefault="00E26D20" w:rsidP="00E26D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rPr>
          <w:rFonts w:ascii="Arial" w:hAnsi="Arial" w:cs="Arial"/>
          <w:lang w:val="en-US"/>
        </w:rPr>
      </w:pPr>
      <w:r w:rsidRPr="00E26D20">
        <w:rPr>
          <w:rFonts w:ascii="Arial" w:hAnsi="Arial" w:cs="Arial"/>
          <w:lang w:val="en-US"/>
        </w:rPr>
        <w:t xml:space="preserve">Whether or not a particular premises constitutes a “home” which attracts the protection of Article 8 § 1 will depend on the factual circumstances, namely, the existence of sufficient and continuous links with a specific place (see </w:t>
      </w:r>
      <w:r w:rsidRPr="00E26D20">
        <w:rPr>
          <w:rFonts w:ascii="Arial" w:hAnsi="Arial" w:cs="Arial"/>
          <w:i/>
          <w:iCs/>
          <w:lang w:val="en-US"/>
        </w:rPr>
        <w:t>Buckley v. the United Kingdom</w:t>
      </w:r>
      <w:r w:rsidRPr="00E26D20">
        <w:rPr>
          <w:rFonts w:ascii="Arial" w:hAnsi="Arial" w:cs="Arial"/>
          <w:lang w:val="en-US"/>
        </w:rPr>
        <w:t xml:space="preserve">, 25 September 1996, </w:t>
      </w:r>
      <w:r w:rsidRPr="00E26D20">
        <w:rPr>
          <w:rFonts w:ascii="Arial" w:hAnsi="Arial" w:cs="Arial"/>
          <w:i/>
          <w:iCs/>
          <w:lang w:val="en-US"/>
        </w:rPr>
        <w:t>Reports</w:t>
      </w:r>
      <w:r w:rsidRPr="00E26D20">
        <w:rPr>
          <w:rFonts w:ascii="Arial" w:hAnsi="Arial" w:cs="Arial"/>
          <w:lang w:val="en-US"/>
        </w:rPr>
        <w:t xml:space="preserve"> 1996-IV, §§ 52-54, and Commission’s report of 11 January 1995, § 63; </w:t>
      </w:r>
      <w:r w:rsidRPr="00E26D20">
        <w:rPr>
          <w:rFonts w:ascii="Arial" w:hAnsi="Arial" w:cs="Arial"/>
          <w:i/>
          <w:iCs/>
          <w:lang w:val="en-US"/>
        </w:rPr>
        <w:t>Gillow v. the United Kingdom</w:t>
      </w:r>
      <w:r w:rsidRPr="00E26D20">
        <w:rPr>
          <w:rFonts w:ascii="Arial" w:hAnsi="Arial" w:cs="Arial"/>
          <w:lang w:val="en-US"/>
        </w:rPr>
        <w:t xml:space="preserve">, 24 November 1986, § 46, Series A no. 109; </w:t>
      </w:r>
      <w:r w:rsidRPr="00E26D20">
        <w:rPr>
          <w:rFonts w:ascii="Arial" w:hAnsi="Arial" w:cs="Arial"/>
          <w:i/>
          <w:iCs/>
          <w:lang w:val="en-US"/>
        </w:rPr>
        <w:t>Wiggins v. the United Kingdom</w:t>
      </w:r>
      <w:r w:rsidRPr="00E26D20">
        <w:rPr>
          <w:rFonts w:ascii="Arial" w:hAnsi="Arial" w:cs="Arial"/>
          <w:lang w:val="en-US"/>
        </w:rPr>
        <w:t xml:space="preserve">, no. 7456/76, Commission decision of 8 February 1978, DR 13, p. 40; and </w:t>
      </w:r>
      <w:r w:rsidRPr="00E26D20">
        <w:rPr>
          <w:rFonts w:ascii="Arial" w:hAnsi="Arial" w:cs="Arial"/>
          <w:i/>
          <w:iCs/>
          <w:lang w:val="en-US"/>
        </w:rPr>
        <w:t>Prokopovich v. Russia</w:t>
      </w:r>
      <w:r w:rsidRPr="00E26D20">
        <w:rPr>
          <w:rFonts w:ascii="Arial" w:hAnsi="Arial" w:cs="Arial"/>
          <w:lang w:val="en-US"/>
        </w:rPr>
        <w:t>, no. 58255/00, § 36, ECHR 2004</w:t>
      </w:r>
      <w:r w:rsidRPr="00E26D20">
        <w:rPr>
          <w:rFonts w:ascii="Palatino" w:hAnsi="Palatino" w:cs="Palatino"/>
          <w:lang w:val="en-US"/>
        </w:rPr>
        <w:t>‑</w:t>
      </w:r>
      <w:r w:rsidRPr="00E26D20">
        <w:rPr>
          <w:rFonts w:ascii="Arial" w:hAnsi="Arial" w:cs="Arial"/>
          <w:lang w:val="en-US"/>
        </w:rPr>
        <w:t xml:space="preserve">XI (extracts)). Thus, whether a property is to be classified as a “home” is a question of fact and does not depend on the lawfulness of the occupation under domestic law (see </w:t>
      </w:r>
      <w:r w:rsidRPr="00E26D20">
        <w:rPr>
          <w:rFonts w:ascii="Arial" w:hAnsi="Arial" w:cs="Arial"/>
          <w:i/>
          <w:iCs/>
          <w:lang w:val="en-US"/>
        </w:rPr>
        <w:t>McCann v. the United Kingdom</w:t>
      </w:r>
      <w:r w:rsidRPr="00E26D20">
        <w:rPr>
          <w:rFonts w:ascii="Arial" w:hAnsi="Arial" w:cs="Arial"/>
          <w:lang w:val="en-US"/>
        </w:rPr>
        <w:t>, no. 19009/04, § 46, 13 May 2008).</w:t>
      </w:r>
      <w:r w:rsidRPr="00E26D20">
        <w:rPr>
          <w:rStyle w:val="FootnoteReference"/>
          <w:rFonts w:ascii="Arial" w:hAnsi="Arial" w:cs="Arial"/>
          <w:lang w:val="en-US"/>
        </w:rPr>
        <w:footnoteReference w:id="52"/>
      </w:r>
    </w:p>
    <w:p w14:paraId="077B64AA" w14:textId="77777777" w:rsidR="00E26D20" w:rsidRDefault="00E26D20" w:rsidP="00113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lang w:val="en-US"/>
        </w:rPr>
      </w:pPr>
    </w:p>
    <w:p w14:paraId="4C78DCF3" w14:textId="62B72AC6" w:rsidR="000B2907" w:rsidRPr="00113C90" w:rsidRDefault="000B2907" w:rsidP="00113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4"/>
          <w:szCs w:val="24"/>
          <w:lang w:val="de-DE"/>
        </w:rPr>
      </w:pPr>
      <w:r w:rsidRPr="00113C90">
        <w:rPr>
          <w:rFonts w:ascii="Arial" w:hAnsi="Arial" w:cs="Arial"/>
          <w:sz w:val="24"/>
          <w:szCs w:val="24"/>
        </w:rPr>
        <w:t>The developing</w:t>
      </w:r>
      <w:r w:rsidR="00B7258E" w:rsidRPr="00113C90">
        <w:rPr>
          <w:rFonts w:ascii="Arial" w:hAnsi="Arial" w:cs="Arial"/>
          <w:sz w:val="24"/>
          <w:szCs w:val="24"/>
        </w:rPr>
        <w:t xml:space="preserve"> ECtHR jurisprudence on Article 8 in relation to </w:t>
      </w:r>
      <w:r w:rsidR="00E357CF" w:rsidRPr="00113C90">
        <w:rPr>
          <w:rFonts w:ascii="Arial" w:hAnsi="Arial" w:cs="Arial"/>
          <w:sz w:val="24"/>
          <w:szCs w:val="24"/>
        </w:rPr>
        <w:t>homes and accommodation rig</w:t>
      </w:r>
      <w:r w:rsidR="00B7258E" w:rsidRPr="00113C90">
        <w:rPr>
          <w:rFonts w:ascii="Arial" w:hAnsi="Arial" w:cs="Arial"/>
          <w:sz w:val="24"/>
          <w:szCs w:val="24"/>
        </w:rPr>
        <w:t xml:space="preserve">hts has led to significant standards and positive obligations being prescribed in relation to </w:t>
      </w:r>
      <w:r w:rsidRPr="00113C90">
        <w:rPr>
          <w:rFonts w:ascii="Arial" w:hAnsi="Arial" w:cs="Arial"/>
          <w:sz w:val="24"/>
          <w:szCs w:val="24"/>
        </w:rPr>
        <w:t xml:space="preserve">procedural and substantive obligations </w:t>
      </w:r>
      <w:r w:rsidR="00DD5C2F">
        <w:rPr>
          <w:rFonts w:ascii="Arial" w:hAnsi="Arial" w:cs="Arial"/>
          <w:sz w:val="24"/>
          <w:szCs w:val="24"/>
        </w:rPr>
        <w:t xml:space="preserve">on </w:t>
      </w:r>
      <w:r w:rsidRPr="00113C90">
        <w:rPr>
          <w:rFonts w:ascii="Arial" w:hAnsi="Arial" w:cs="Arial"/>
          <w:sz w:val="24"/>
          <w:szCs w:val="24"/>
        </w:rPr>
        <w:t>eviction from ‘home’ and repossession proceedings by landlords and lenders.</w:t>
      </w:r>
      <w:r w:rsidR="00B7258E" w:rsidRPr="00113C90">
        <w:rPr>
          <w:rStyle w:val="FootnoteReference"/>
          <w:rFonts w:ascii="Arial" w:hAnsi="Arial" w:cs="Arial"/>
          <w:sz w:val="24"/>
          <w:szCs w:val="24"/>
        </w:rPr>
        <w:footnoteReference w:id="53"/>
      </w:r>
      <w:r w:rsidR="00E357CF" w:rsidRPr="00113C90">
        <w:rPr>
          <w:rFonts w:ascii="Arial" w:hAnsi="Arial" w:cs="Arial"/>
          <w:sz w:val="24"/>
          <w:szCs w:val="24"/>
        </w:rPr>
        <w:t xml:space="preserve"> </w:t>
      </w:r>
      <w:r w:rsidRPr="00113C90">
        <w:rPr>
          <w:rFonts w:ascii="Arial" w:hAnsi="Arial" w:cs="Arial"/>
          <w:sz w:val="24"/>
          <w:szCs w:val="24"/>
        </w:rPr>
        <w:t xml:space="preserve">In </w:t>
      </w:r>
      <w:r w:rsidRPr="00113C90">
        <w:rPr>
          <w:rFonts w:ascii="Arial" w:hAnsi="Arial" w:cs="Arial"/>
          <w:i/>
          <w:sz w:val="24"/>
          <w:szCs w:val="24"/>
          <w:lang w:val="de-DE"/>
        </w:rPr>
        <w:t>McCann v UK,</w:t>
      </w:r>
      <w:r w:rsidRPr="00113C90">
        <w:rPr>
          <w:rFonts w:ascii="Arial" w:hAnsi="Arial" w:cs="Arial"/>
          <w:sz w:val="24"/>
          <w:szCs w:val="24"/>
          <w:lang w:val="de-DE"/>
        </w:rPr>
        <w:t xml:space="preserve"> the ECtHR reiterated the </w:t>
      </w:r>
      <w:r w:rsidR="00DA0796">
        <w:rPr>
          <w:rFonts w:ascii="Arial" w:hAnsi="Arial" w:cs="Arial"/>
          <w:sz w:val="24"/>
          <w:szCs w:val="24"/>
          <w:lang w:val="de-DE"/>
        </w:rPr>
        <w:t>p</w:t>
      </w:r>
      <w:r w:rsidRPr="00113C90">
        <w:rPr>
          <w:rFonts w:ascii="Arial" w:hAnsi="Arial" w:cs="Arial"/>
          <w:sz w:val="24"/>
          <w:szCs w:val="24"/>
          <w:lang w:val="de-DE"/>
        </w:rPr>
        <w:t xml:space="preserve">rotections </w:t>
      </w:r>
      <w:r w:rsidR="00DD5C2F">
        <w:rPr>
          <w:rFonts w:ascii="Arial" w:hAnsi="Arial" w:cs="Arial"/>
          <w:sz w:val="24"/>
          <w:szCs w:val="24"/>
          <w:lang w:val="de-DE"/>
        </w:rPr>
        <w:t>of Article 8</w:t>
      </w:r>
      <w:r w:rsidR="00DA0796">
        <w:rPr>
          <w:rFonts w:ascii="Arial" w:hAnsi="Arial" w:cs="Arial"/>
          <w:sz w:val="24"/>
          <w:szCs w:val="24"/>
          <w:lang w:val="de-DE"/>
        </w:rPr>
        <w:t xml:space="preserve"> ECHR</w:t>
      </w:r>
      <w:r w:rsidR="0055759E">
        <w:rPr>
          <w:rFonts w:ascii="Arial" w:hAnsi="Arial" w:cs="Arial"/>
          <w:sz w:val="24"/>
          <w:szCs w:val="24"/>
          <w:lang w:val="de-DE"/>
        </w:rPr>
        <w:t xml:space="preserve">, and this is considered below in the final </w:t>
      </w:r>
      <w:r w:rsidR="006B2DC0">
        <w:rPr>
          <w:rFonts w:ascii="Arial" w:hAnsi="Arial" w:cs="Arial"/>
          <w:sz w:val="24"/>
          <w:szCs w:val="24"/>
          <w:lang w:val="de-DE"/>
        </w:rPr>
        <w:t>section of</w:t>
      </w:r>
      <w:r w:rsidR="0055759E">
        <w:rPr>
          <w:rFonts w:ascii="Arial" w:hAnsi="Arial" w:cs="Arial"/>
          <w:sz w:val="24"/>
          <w:szCs w:val="24"/>
          <w:lang w:val="de-DE"/>
        </w:rPr>
        <w:t xml:space="preserve"> this paper</w:t>
      </w:r>
      <w:r w:rsidRPr="00113C90">
        <w:rPr>
          <w:rFonts w:ascii="Arial" w:hAnsi="Arial" w:cs="Arial"/>
          <w:sz w:val="24"/>
          <w:szCs w:val="24"/>
          <w:lang w:val="de-DE"/>
        </w:rPr>
        <w:t xml:space="preserve">: </w:t>
      </w:r>
    </w:p>
    <w:p w14:paraId="2FFF2F7C" w14:textId="77777777" w:rsidR="00B7258E" w:rsidRPr="00113C90" w:rsidRDefault="00B7258E" w:rsidP="00113C90">
      <w:pPr>
        <w:widowControl w:val="0"/>
        <w:autoSpaceDE w:val="0"/>
        <w:autoSpaceDN w:val="0"/>
        <w:adjustRightInd w:val="0"/>
        <w:spacing w:after="0" w:line="240" w:lineRule="auto"/>
        <w:jc w:val="both"/>
        <w:rPr>
          <w:rFonts w:ascii="Arial" w:hAnsi="Arial" w:cs="Arial"/>
          <w:sz w:val="24"/>
          <w:szCs w:val="24"/>
        </w:rPr>
      </w:pPr>
    </w:p>
    <w:p w14:paraId="6BCD64E3" w14:textId="7D6D3198" w:rsidR="00B7258E" w:rsidRPr="00742739" w:rsidRDefault="00B7258E" w:rsidP="00742739">
      <w:pPr>
        <w:widowControl w:val="0"/>
        <w:autoSpaceDE w:val="0"/>
        <w:autoSpaceDN w:val="0"/>
        <w:adjustRightInd w:val="0"/>
        <w:spacing w:after="0" w:line="240" w:lineRule="auto"/>
        <w:ind w:left="720"/>
        <w:jc w:val="both"/>
        <w:rPr>
          <w:rFonts w:ascii="Arial" w:hAnsi="Arial" w:cs="Arial"/>
        </w:rPr>
      </w:pPr>
      <w:r w:rsidRPr="00742739">
        <w:rPr>
          <w:rFonts w:ascii="Arial" w:hAnsi="Arial" w:cs="Arial"/>
        </w:rPr>
        <w:t>The loss of one’s home is a most extreme form of interference with the right to respect for the home. Any person at risk of an interference of this magnitude should in principle be able to have the proportionality of the measure determined by an independent tribunal in the light of the relevant principles under Article 8 of the Convention, notwithstanding that, under domestic law, his right of occupation has come to an end</w:t>
      </w:r>
      <w:r w:rsidR="00742739" w:rsidRPr="00742739">
        <w:rPr>
          <w:rFonts w:ascii="Arial" w:hAnsi="Arial" w:cs="Arial"/>
        </w:rPr>
        <w:t>.</w:t>
      </w:r>
      <w:r w:rsidRPr="00742739">
        <w:rPr>
          <w:rStyle w:val="FootnoteReference"/>
          <w:rFonts w:ascii="Arial" w:hAnsi="Arial" w:cs="Arial"/>
        </w:rPr>
        <w:footnoteReference w:id="54"/>
      </w:r>
    </w:p>
    <w:p w14:paraId="41A44530" w14:textId="77777777" w:rsidR="00B7258E" w:rsidRPr="00113C90" w:rsidRDefault="00B7258E" w:rsidP="00113C90">
      <w:pPr>
        <w:spacing w:after="0" w:line="240" w:lineRule="auto"/>
        <w:rPr>
          <w:rFonts w:ascii="Arial" w:hAnsi="Arial" w:cs="Arial"/>
          <w:sz w:val="24"/>
          <w:szCs w:val="24"/>
        </w:rPr>
      </w:pPr>
    </w:p>
    <w:p w14:paraId="3872C637" w14:textId="517D3465" w:rsidR="001823C8" w:rsidRDefault="001823C8" w:rsidP="00113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4"/>
          <w:szCs w:val="24"/>
        </w:rPr>
      </w:pPr>
      <w:r w:rsidRPr="00113C90">
        <w:rPr>
          <w:rFonts w:ascii="Arial" w:hAnsi="Arial" w:cs="Arial"/>
          <w:sz w:val="24"/>
          <w:szCs w:val="24"/>
        </w:rPr>
        <w:t xml:space="preserve">Article 17 of the </w:t>
      </w:r>
      <w:r w:rsidR="00160C04">
        <w:rPr>
          <w:rFonts w:ascii="Arial" w:hAnsi="Arial" w:cs="Arial"/>
          <w:sz w:val="24"/>
          <w:szCs w:val="24"/>
        </w:rPr>
        <w:t>Charter</w:t>
      </w:r>
      <w:r w:rsidRPr="00113C90">
        <w:rPr>
          <w:rFonts w:ascii="Arial" w:hAnsi="Arial" w:cs="Arial"/>
          <w:sz w:val="24"/>
          <w:szCs w:val="24"/>
        </w:rPr>
        <w:t xml:space="preserve"> on the right to property includes similar (though not identical) wording to Article 1 of Protocol 1 of the ECHR:</w:t>
      </w:r>
    </w:p>
    <w:p w14:paraId="14223F2A" w14:textId="77777777" w:rsidR="00742739" w:rsidRPr="00113C90" w:rsidRDefault="00742739" w:rsidP="00113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4"/>
          <w:szCs w:val="24"/>
        </w:rPr>
      </w:pPr>
    </w:p>
    <w:p w14:paraId="5C6B50DF" w14:textId="77777777" w:rsidR="001823C8" w:rsidRPr="00742739" w:rsidRDefault="001823C8" w:rsidP="007427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rPr>
          <w:rFonts w:ascii="Arial" w:hAnsi="Arial" w:cs="Arial"/>
        </w:rPr>
      </w:pPr>
      <w:r w:rsidRPr="00742739">
        <w:rPr>
          <w:rFonts w:ascii="Arial" w:hAnsi="Arial" w:cs="Arial"/>
        </w:rPr>
        <w:t xml:space="preserve">Everyone has the right to own, use, dispose of and bequeath his or her lawfully acquired possessions. No one may be deprived of his or her possessions, except in </w:t>
      </w:r>
      <w:r w:rsidRPr="00742739">
        <w:rPr>
          <w:rFonts w:ascii="Arial" w:hAnsi="Arial" w:cs="Arial"/>
        </w:rPr>
        <w:lastRenderedPageBreak/>
        <w:t>the public interest and in the cases and under the conditions provided for by law, subject to fair compensation being paid in good time for their loss. The use of property may be regulated by law in so far as is necessary for the general interest.</w:t>
      </w:r>
      <w:r w:rsidRPr="00742739">
        <w:rPr>
          <w:rStyle w:val="FootnoteReference"/>
          <w:rFonts w:ascii="Arial" w:hAnsi="Arial" w:cs="Arial"/>
        </w:rPr>
        <w:footnoteReference w:id="55"/>
      </w:r>
      <w:r w:rsidRPr="00742739">
        <w:rPr>
          <w:rFonts w:ascii="Arial" w:hAnsi="Arial" w:cs="Arial"/>
        </w:rPr>
        <w:t xml:space="preserve"> </w:t>
      </w:r>
    </w:p>
    <w:p w14:paraId="00DDEDF3" w14:textId="77777777" w:rsidR="00742739" w:rsidRPr="00113C90" w:rsidRDefault="00742739" w:rsidP="00113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4"/>
          <w:szCs w:val="24"/>
        </w:rPr>
      </w:pPr>
    </w:p>
    <w:p w14:paraId="2DB9D8DC" w14:textId="4771C167" w:rsidR="00D601B1" w:rsidRPr="00593AF8" w:rsidRDefault="001823C8" w:rsidP="00D601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color w:val="000000" w:themeColor="text1"/>
          <w:szCs w:val="24"/>
        </w:rPr>
      </w:pPr>
      <w:r w:rsidRPr="00113C90">
        <w:rPr>
          <w:rFonts w:ascii="Arial" w:hAnsi="Arial" w:cs="Arial"/>
          <w:sz w:val="24"/>
          <w:szCs w:val="24"/>
        </w:rPr>
        <w:t xml:space="preserve">The </w:t>
      </w:r>
      <w:r w:rsidR="00871ECA" w:rsidRPr="00871ECA">
        <w:rPr>
          <w:rFonts w:ascii="Arial" w:hAnsi="Arial" w:cs="Arial"/>
          <w:i/>
          <w:sz w:val="24"/>
          <w:szCs w:val="24"/>
        </w:rPr>
        <w:t>Explanations</w:t>
      </w:r>
      <w:r w:rsidRPr="00113C90">
        <w:rPr>
          <w:rFonts w:ascii="Arial" w:hAnsi="Arial" w:cs="Arial"/>
          <w:sz w:val="24"/>
          <w:szCs w:val="24"/>
        </w:rPr>
        <w:t xml:space="preserve"> point out that “the meaning and scope of the right are the same as those of the right guaranteed by the ECHR and the limitations may not exceed those provided for there.”</w:t>
      </w:r>
      <w:r w:rsidRPr="00113C90">
        <w:rPr>
          <w:rStyle w:val="FootnoteReference"/>
          <w:rFonts w:ascii="Arial" w:hAnsi="Arial" w:cs="Arial"/>
          <w:sz w:val="24"/>
          <w:szCs w:val="24"/>
        </w:rPr>
        <w:footnoteReference w:id="56"/>
      </w:r>
      <w:r w:rsidRPr="00113C90">
        <w:rPr>
          <w:rFonts w:ascii="Arial" w:hAnsi="Arial" w:cs="Arial"/>
          <w:sz w:val="24"/>
          <w:szCs w:val="24"/>
        </w:rPr>
        <w:t xml:space="preserve"> The ECtHR jurisprudence on Article 1 of Protocol 1 </w:t>
      </w:r>
      <w:r w:rsidR="00181F89">
        <w:rPr>
          <w:rFonts w:ascii="Arial" w:hAnsi="Arial" w:cs="Arial"/>
          <w:sz w:val="24"/>
          <w:szCs w:val="24"/>
        </w:rPr>
        <w:t xml:space="preserve">has held that </w:t>
      </w:r>
      <w:r w:rsidRPr="00113C90">
        <w:rPr>
          <w:rFonts w:ascii="Arial" w:hAnsi="Arial" w:cs="Arial"/>
          <w:sz w:val="24"/>
          <w:szCs w:val="24"/>
        </w:rPr>
        <w:t>social assistance entitlement</w:t>
      </w:r>
      <w:r w:rsidR="00181F89">
        <w:rPr>
          <w:rFonts w:ascii="Arial" w:hAnsi="Arial" w:cs="Arial"/>
          <w:sz w:val="24"/>
          <w:szCs w:val="24"/>
        </w:rPr>
        <w:t>s can be regarded as ‘possessions’</w:t>
      </w:r>
      <w:r w:rsidRPr="00113C90">
        <w:rPr>
          <w:rFonts w:ascii="Arial" w:hAnsi="Arial" w:cs="Arial"/>
          <w:sz w:val="24"/>
          <w:szCs w:val="24"/>
        </w:rPr>
        <w:t xml:space="preserve">, and where there is a </w:t>
      </w:r>
      <w:r w:rsidRPr="00D601B1">
        <w:rPr>
          <w:rFonts w:ascii="Arial" w:hAnsi="Arial" w:cs="Arial"/>
          <w:sz w:val="24"/>
          <w:szCs w:val="24"/>
        </w:rPr>
        <w:t>delay in implementing th</w:t>
      </w:r>
      <w:r w:rsidR="00181F89" w:rsidRPr="00D601B1">
        <w:rPr>
          <w:rFonts w:ascii="Arial" w:hAnsi="Arial" w:cs="Arial"/>
          <w:sz w:val="24"/>
          <w:szCs w:val="24"/>
        </w:rPr>
        <w:t>ese r</w:t>
      </w:r>
      <w:r w:rsidRPr="00D601B1">
        <w:rPr>
          <w:rFonts w:ascii="Arial" w:hAnsi="Arial" w:cs="Arial"/>
          <w:sz w:val="24"/>
          <w:szCs w:val="24"/>
        </w:rPr>
        <w:t xml:space="preserve">ights, then a breach of Article 1 of Protocol 1 </w:t>
      </w:r>
      <w:r w:rsidR="00DD5C2F">
        <w:rPr>
          <w:rFonts w:ascii="Arial" w:hAnsi="Arial" w:cs="Arial"/>
          <w:sz w:val="24"/>
          <w:szCs w:val="24"/>
        </w:rPr>
        <w:t>can take</w:t>
      </w:r>
      <w:r w:rsidRPr="00D601B1">
        <w:rPr>
          <w:rFonts w:ascii="Arial" w:hAnsi="Arial" w:cs="Arial"/>
          <w:sz w:val="24"/>
          <w:szCs w:val="24"/>
        </w:rPr>
        <w:t xml:space="preserve"> place.</w:t>
      </w:r>
      <w:r w:rsidRPr="00D601B1">
        <w:rPr>
          <w:rStyle w:val="FootnoteReference"/>
          <w:rFonts w:ascii="Arial" w:hAnsi="Arial" w:cs="Arial"/>
          <w:sz w:val="24"/>
          <w:szCs w:val="24"/>
        </w:rPr>
        <w:footnoteReference w:id="57"/>
      </w:r>
      <w:r w:rsidR="00181F89" w:rsidRPr="00D601B1">
        <w:rPr>
          <w:rFonts w:ascii="Arial" w:hAnsi="Arial" w:cs="Arial"/>
          <w:sz w:val="24"/>
          <w:szCs w:val="24"/>
        </w:rPr>
        <w:t xml:space="preserve"> In the ECtHR case of </w:t>
      </w:r>
      <w:r w:rsidR="00181F89" w:rsidRPr="00D601B1">
        <w:rPr>
          <w:rFonts w:ascii="Arial" w:hAnsi="Arial" w:cs="Arial"/>
          <w:i/>
          <w:color w:val="000000" w:themeColor="text1"/>
          <w:sz w:val="24"/>
          <w:szCs w:val="24"/>
        </w:rPr>
        <w:t>Bäck v Finland</w:t>
      </w:r>
      <w:r w:rsidR="00D601B1">
        <w:rPr>
          <w:rFonts w:ascii="Arial" w:hAnsi="Arial" w:cs="Arial"/>
          <w:color w:val="000000" w:themeColor="text1"/>
          <w:sz w:val="24"/>
          <w:szCs w:val="24"/>
        </w:rPr>
        <w:t>,</w:t>
      </w:r>
      <w:r w:rsidR="00181F89" w:rsidRPr="00D601B1">
        <w:rPr>
          <w:rStyle w:val="FootnoteReference"/>
          <w:rFonts w:ascii="Arial" w:hAnsi="Arial" w:cs="Arial"/>
          <w:color w:val="000000" w:themeColor="text1"/>
          <w:sz w:val="24"/>
          <w:szCs w:val="24"/>
        </w:rPr>
        <w:footnoteReference w:id="58"/>
      </w:r>
      <w:r w:rsidR="00181F89" w:rsidRPr="00D601B1">
        <w:rPr>
          <w:rFonts w:ascii="Arial" w:hAnsi="Arial" w:cs="Arial"/>
          <w:color w:val="000000" w:themeColor="text1"/>
          <w:sz w:val="24"/>
          <w:szCs w:val="24"/>
        </w:rPr>
        <w:t xml:space="preserve">  a creditor argued that legislation </w:t>
      </w:r>
      <w:r w:rsidR="00D601B1" w:rsidRPr="00D601B1">
        <w:rPr>
          <w:rFonts w:ascii="Arial" w:hAnsi="Arial" w:cs="Arial"/>
          <w:color w:val="000000" w:themeColor="text1"/>
          <w:sz w:val="24"/>
          <w:szCs w:val="24"/>
        </w:rPr>
        <w:t>which allowed a court to adjust or write off the debt (subject to conditions) and suspend possession proceedings</w:t>
      </w:r>
      <w:r w:rsidR="00D601B1">
        <w:rPr>
          <w:rFonts w:ascii="Arial" w:hAnsi="Arial" w:cs="Arial"/>
          <w:color w:val="000000" w:themeColor="text1"/>
          <w:sz w:val="24"/>
          <w:szCs w:val="24"/>
        </w:rPr>
        <w:t>,</w:t>
      </w:r>
      <w:r w:rsidR="00D601B1" w:rsidRPr="00D601B1">
        <w:rPr>
          <w:rFonts w:ascii="Arial" w:hAnsi="Arial" w:cs="Arial"/>
          <w:color w:val="000000" w:themeColor="text1"/>
          <w:sz w:val="24"/>
          <w:szCs w:val="24"/>
        </w:rPr>
        <w:t xml:space="preserve"> violated his right to property under Article 1 of Protocol 1 to the ECHR</w:t>
      </w:r>
      <w:r w:rsidR="00D601B1">
        <w:rPr>
          <w:rFonts w:ascii="Arial" w:hAnsi="Arial" w:cs="Arial"/>
          <w:color w:val="000000" w:themeColor="text1"/>
          <w:sz w:val="24"/>
          <w:szCs w:val="24"/>
        </w:rPr>
        <w:t xml:space="preserve">. This legislation </w:t>
      </w:r>
      <w:r w:rsidR="00D601B1" w:rsidRPr="00D601B1">
        <w:rPr>
          <w:rFonts w:ascii="Arial" w:hAnsi="Arial" w:cs="Arial"/>
          <w:color w:val="000000" w:themeColor="text1"/>
          <w:sz w:val="24"/>
          <w:szCs w:val="24"/>
        </w:rPr>
        <w:t xml:space="preserve">allowed the local Finnish district court to reduce or irrevocably extinguish the debt. </w:t>
      </w:r>
      <w:r w:rsidR="00D601B1" w:rsidRPr="00D601B1">
        <w:rPr>
          <w:rFonts w:ascii="Arial" w:hAnsi="Arial" w:cs="Arial"/>
          <w:sz w:val="24"/>
          <w:szCs w:val="24"/>
        </w:rPr>
        <w:t xml:space="preserve">The applicant argued, moreover, that while the adjustment of </w:t>
      </w:r>
      <w:r w:rsidR="00D601B1">
        <w:rPr>
          <w:rFonts w:ascii="Arial" w:hAnsi="Arial" w:cs="Arial"/>
          <w:sz w:val="24"/>
          <w:szCs w:val="24"/>
        </w:rPr>
        <w:t xml:space="preserve">the </w:t>
      </w:r>
      <w:r w:rsidR="00D601B1" w:rsidRPr="00D601B1">
        <w:rPr>
          <w:rFonts w:ascii="Arial" w:hAnsi="Arial" w:cs="Arial"/>
          <w:sz w:val="24"/>
          <w:szCs w:val="24"/>
        </w:rPr>
        <w:t xml:space="preserve">debts may have saved </w:t>
      </w:r>
      <w:r w:rsidR="00D601B1">
        <w:rPr>
          <w:rFonts w:ascii="Arial" w:hAnsi="Arial" w:cs="Arial"/>
          <w:sz w:val="24"/>
          <w:szCs w:val="24"/>
        </w:rPr>
        <w:t xml:space="preserve">the borrower </w:t>
      </w:r>
      <w:r w:rsidR="00D601B1" w:rsidRPr="00D601B1">
        <w:rPr>
          <w:rFonts w:ascii="Arial" w:hAnsi="Arial" w:cs="Arial"/>
          <w:sz w:val="24"/>
          <w:szCs w:val="24"/>
        </w:rPr>
        <w:t>from “social misery”, at the same time similar misery was created for creditors. However, t</w:t>
      </w:r>
      <w:r w:rsidR="00D601B1" w:rsidRPr="00D601B1">
        <w:rPr>
          <w:rFonts w:ascii="Arial" w:hAnsi="Arial" w:cs="Arial"/>
          <w:color w:val="000000" w:themeColor="text1"/>
          <w:sz w:val="24"/>
          <w:szCs w:val="24"/>
        </w:rPr>
        <w:t>he ECtHR held that there was no violation, as the measure was justified by a legitimate aim in the general public interest. This was not nullified by the fact that the community at large were not the beneficiaries.</w:t>
      </w:r>
      <w:r w:rsidR="00D601B1" w:rsidRPr="00593AF8">
        <w:rPr>
          <w:rFonts w:cs="Arial"/>
          <w:color w:val="000000" w:themeColor="text1"/>
          <w:szCs w:val="24"/>
        </w:rPr>
        <w:t xml:space="preserve"> </w:t>
      </w:r>
    </w:p>
    <w:p w14:paraId="33E9A6BF" w14:textId="74947638" w:rsidR="001823C8" w:rsidRPr="00113C90" w:rsidRDefault="001823C8" w:rsidP="00113C90">
      <w:pPr>
        <w:spacing w:after="0" w:line="240" w:lineRule="auto"/>
        <w:rPr>
          <w:rFonts w:ascii="Arial" w:hAnsi="Arial" w:cs="Arial"/>
          <w:sz w:val="24"/>
          <w:szCs w:val="24"/>
        </w:rPr>
      </w:pPr>
    </w:p>
    <w:p w14:paraId="6B715894" w14:textId="1FE887C1" w:rsidR="00B7258E" w:rsidRDefault="00B7258E" w:rsidP="00113C90">
      <w:pPr>
        <w:spacing w:after="0" w:line="240" w:lineRule="auto"/>
        <w:rPr>
          <w:rFonts w:ascii="Arial" w:hAnsi="Arial" w:cs="Arial"/>
          <w:sz w:val="24"/>
          <w:szCs w:val="24"/>
        </w:rPr>
      </w:pPr>
      <w:r w:rsidRPr="00113C90">
        <w:rPr>
          <w:rFonts w:ascii="Arial" w:hAnsi="Arial" w:cs="Arial"/>
          <w:sz w:val="24"/>
          <w:szCs w:val="24"/>
        </w:rPr>
        <w:t xml:space="preserve">Article 21 of the </w:t>
      </w:r>
      <w:r w:rsidR="00160C04">
        <w:rPr>
          <w:rFonts w:ascii="Arial" w:hAnsi="Arial" w:cs="Arial"/>
          <w:sz w:val="24"/>
          <w:szCs w:val="24"/>
        </w:rPr>
        <w:t>C</w:t>
      </w:r>
      <w:r w:rsidR="00742739">
        <w:rPr>
          <w:rFonts w:ascii="Arial" w:hAnsi="Arial" w:cs="Arial"/>
          <w:sz w:val="24"/>
          <w:szCs w:val="24"/>
        </w:rPr>
        <w:t>harter</w:t>
      </w:r>
      <w:r w:rsidRPr="00113C90">
        <w:rPr>
          <w:rFonts w:ascii="Arial" w:hAnsi="Arial" w:cs="Arial"/>
          <w:sz w:val="24"/>
          <w:szCs w:val="24"/>
        </w:rPr>
        <w:t xml:space="preserve"> prohibits discrimination on grounds of sex, race, colour, ethnic or social origin, genetic features, language, religion or belief, political or other opinion, membership of a national minority, property, birth, disability, age or sexual orientation.</w:t>
      </w:r>
      <w:r w:rsidRPr="00113C90">
        <w:rPr>
          <w:rStyle w:val="FootnoteReference"/>
          <w:rFonts w:ascii="Arial" w:hAnsi="Arial" w:cs="Arial"/>
          <w:sz w:val="24"/>
          <w:szCs w:val="24"/>
        </w:rPr>
        <w:footnoteReference w:id="59"/>
      </w:r>
    </w:p>
    <w:p w14:paraId="6F7E1471" w14:textId="77777777" w:rsidR="000C6F91" w:rsidRDefault="000C6F91" w:rsidP="00113C90">
      <w:pPr>
        <w:spacing w:after="0" w:line="240" w:lineRule="auto"/>
        <w:rPr>
          <w:rFonts w:ascii="Arial" w:hAnsi="Arial" w:cs="Arial"/>
          <w:sz w:val="24"/>
          <w:szCs w:val="24"/>
        </w:rPr>
      </w:pPr>
    </w:p>
    <w:p w14:paraId="5215F9DD" w14:textId="560D18EF" w:rsidR="0040207B" w:rsidRPr="00AE2F75" w:rsidRDefault="002B3CCE" w:rsidP="00113C90">
      <w:pPr>
        <w:pStyle w:val="sti-art"/>
        <w:spacing w:before="0" w:beforeAutospacing="0" w:after="0" w:afterAutospacing="0"/>
        <w:rPr>
          <w:rFonts w:ascii="Arial" w:hAnsi="Arial" w:cs="Arial"/>
          <w:sz w:val="24"/>
          <w:szCs w:val="24"/>
        </w:rPr>
      </w:pPr>
      <w:r w:rsidRPr="00AE2F75">
        <w:rPr>
          <w:rFonts w:ascii="Arial" w:hAnsi="Arial" w:cs="Arial"/>
          <w:sz w:val="24"/>
          <w:szCs w:val="24"/>
        </w:rPr>
        <w:t xml:space="preserve">Article 24(1) on the rights of the child provides that: “Children shall have the right to such protection and care as is necessary for their well-being. They may express their views freely. Such views shall be taken into consideration on matters which concern them in accordance with their age and maturity.” The </w:t>
      </w:r>
      <w:r w:rsidR="00871ECA">
        <w:rPr>
          <w:rFonts w:ascii="Arial" w:hAnsi="Arial" w:cs="Arial"/>
          <w:i/>
          <w:sz w:val="24"/>
          <w:szCs w:val="24"/>
        </w:rPr>
        <w:t>Explanations</w:t>
      </w:r>
      <w:r w:rsidRPr="00AE2F75">
        <w:rPr>
          <w:rFonts w:ascii="Arial" w:hAnsi="Arial" w:cs="Arial"/>
          <w:sz w:val="24"/>
          <w:szCs w:val="24"/>
        </w:rPr>
        <w:t xml:space="preserve"> point out that this Article is based on the UN </w:t>
      </w:r>
      <w:r w:rsidRPr="00AE2F75">
        <w:rPr>
          <w:rFonts w:ascii="Arial" w:hAnsi="Arial" w:cs="Arial"/>
          <w:i/>
          <w:sz w:val="24"/>
          <w:szCs w:val="24"/>
        </w:rPr>
        <w:t>Convention on the Rights of the Child</w:t>
      </w:r>
      <w:r w:rsidR="002A0E33" w:rsidRPr="00AE2F75">
        <w:rPr>
          <w:rFonts w:ascii="Arial" w:hAnsi="Arial" w:cs="Arial"/>
          <w:sz w:val="24"/>
          <w:szCs w:val="24"/>
        </w:rPr>
        <w:t xml:space="preserve"> </w:t>
      </w:r>
      <w:r w:rsidRPr="00AE2F75">
        <w:rPr>
          <w:rFonts w:ascii="Arial" w:hAnsi="Arial" w:cs="Arial"/>
          <w:sz w:val="24"/>
          <w:szCs w:val="24"/>
        </w:rPr>
        <w:t>(1989).</w:t>
      </w:r>
      <w:r w:rsidR="000425CB" w:rsidRPr="00AE2F75">
        <w:rPr>
          <w:rFonts w:ascii="Arial" w:hAnsi="Arial" w:cs="Arial"/>
          <w:sz w:val="24"/>
          <w:szCs w:val="24"/>
        </w:rPr>
        <w:t xml:space="preserve"> </w:t>
      </w:r>
      <w:r w:rsidR="000425CB" w:rsidRPr="00AE2F75">
        <w:rPr>
          <w:rFonts w:ascii="Arial" w:eastAsia="Times New Roman" w:hAnsi="Arial" w:cs="Arial"/>
          <w:sz w:val="24"/>
          <w:szCs w:val="24"/>
        </w:rPr>
        <w:t xml:space="preserve">Ireland ratified the United Nations Convention on the Rights of the Child in 1992. The Convention outlines in detail the standards that apply to the needs of children, and binds States to adhere to these standards. The Convention is informed by four core principles: non-discrimination; the best interests of the child; the right to life, survival and development and respect for the views of the child. The UN Committee on the </w:t>
      </w:r>
      <w:r w:rsidR="000425CB" w:rsidRPr="00AE2F75">
        <w:rPr>
          <w:rFonts w:ascii="Arial" w:eastAsia="Times New Roman" w:hAnsi="Arial" w:cs="Arial"/>
          <w:sz w:val="24"/>
          <w:szCs w:val="24"/>
        </w:rPr>
        <w:lastRenderedPageBreak/>
        <w:t>Rights of the Child published it</w:t>
      </w:r>
      <w:r w:rsidR="006B2DC0">
        <w:rPr>
          <w:rFonts w:ascii="Arial" w:eastAsia="Times New Roman" w:hAnsi="Arial" w:cs="Arial"/>
          <w:sz w:val="24"/>
          <w:szCs w:val="24"/>
        </w:rPr>
        <w:t>s</w:t>
      </w:r>
      <w:r w:rsidR="000425CB" w:rsidRPr="00AE2F75">
        <w:rPr>
          <w:rFonts w:ascii="Arial" w:eastAsia="Times New Roman" w:hAnsi="Arial" w:cs="Arial"/>
          <w:sz w:val="24"/>
          <w:szCs w:val="24"/>
        </w:rPr>
        <w:t xml:space="preserve"> </w:t>
      </w:r>
      <w:r w:rsidR="000425CB" w:rsidRPr="006B2DC0">
        <w:rPr>
          <w:rFonts w:ascii="Arial" w:eastAsia="Times New Roman" w:hAnsi="Arial" w:cs="Arial"/>
          <w:i/>
          <w:sz w:val="24"/>
          <w:szCs w:val="24"/>
        </w:rPr>
        <w:t>Concluding observations on the combined th</w:t>
      </w:r>
      <w:r w:rsidR="006B2DC0">
        <w:rPr>
          <w:rFonts w:ascii="Arial" w:eastAsia="Times New Roman" w:hAnsi="Arial" w:cs="Arial"/>
          <w:i/>
          <w:sz w:val="24"/>
          <w:szCs w:val="24"/>
        </w:rPr>
        <w:t>ir</w:t>
      </w:r>
      <w:r w:rsidR="000425CB" w:rsidRPr="006B2DC0">
        <w:rPr>
          <w:rFonts w:ascii="Arial" w:eastAsia="Times New Roman" w:hAnsi="Arial" w:cs="Arial"/>
          <w:i/>
          <w:sz w:val="24"/>
          <w:szCs w:val="24"/>
        </w:rPr>
        <w:t>d and fourth periodic reports of Ireland</w:t>
      </w:r>
      <w:r w:rsidR="000425CB" w:rsidRPr="00AE2F75">
        <w:rPr>
          <w:rFonts w:ascii="Arial" w:eastAsia="Times New Roman" w:hAnsi="Arial" w:cs="Arial"/>
          <w:sz w:val="24"/>
          <w:szCs w:val="24"/>
        </w:rPr>
        <w:t xml:space="preserve"> in February 2016</w:t>
      </w:r>
      <w:r w:rsidR="006B2DC0">
        <w:rPr>
          <w:rFonts w:ascii="Arial" w:eastAsia="Times New Roman" w:hAnsi="Arial" w:cs="Arial"/>
          <w:sz w:val="24"/>
          <w:szCs w:val="24"/>
        </w:rPr>
        <w:t>,</w:t>
      </w:r>
      <w:r w:rsidR="000425CB" w:rsidRPr="00AE2F75">
        <w:rPr>
          <w:rStyle w:val="FootnoteReference"/>
          <w:rFonts w:ascii="Arial" w:eastAsia="Times New Roman" w:hAnsi="Arial" w:cs="Arial"/>
          <w:sz w:val="24"/>
          <w:szCs w:val="24"/>
        </w:rPr>
        <w:footnoteReference w:id="60"/>
      </w:r>
      <w:r w:rsidR="000425CB" w:rsidRPr="00AE2F75">
        <w:rPr>
          <w:rFonts w:ascii="Arial" w:eastAsia="Times New Roman" w:hAnsi="Arial" w:cs="Arial"/>
          <w:sz w:val="24"/>
          <w:szCs w:val="24"/>
        </w:rPr>
        <w:t xml:space="preserve"> </w:t>
      </w:r>
      <w:r w:rsidR="006B2DC0">
        <w:rPr>
          <w:rFonts w:ascii="Arial" w:eastAsia="Times New Roman" w:hAnsi="Arial" w:cs="Arial"/>
          <w:sz w:val="24"/>
          <w:szCs w:val="24"/>
        </w:rPr>
        <w:t xml:space="preserve">with a </w:t>
      </w:r>
      <w:r w:rsidR="000425CB" w:rsidRPr="00AE2F75">
        <w:rPr>
          <w:rFonts w:ascii="Arial" w:eastAsia="Times New Roman" w:hAnsi="Arial" w:cs="Arial"/>
          <w:sz w:val="24"/>
          <w:szCs w:val="24"/>
        </w:rPr>
        <w:t xml:space="preserve">number of </w:t>
      </w:r>
      <w:r w:rsidR="00AE2F75">
        <w:rPr>
          <w:rFonts w:ascii="Arial" w:eastAsia="Times New Roman" w:hAnsi="Arial" w:cs="Arial"/>
          <w:sz w:val="24"/>
          <w:szCs w:val="24"/>
        </w:rPr>
        <w:t xml:space="preserve">relevant </w:t>
      </w:r>
      <w:r w:rsidR="000425CB" w:rsidRPr="00AE2F75">
        <w:rPr>
          <w:rFonts w:ascii="Arial" w:eastAsia="Times New Roman" w:hAnsi="Arial" w:cs="Arial"/>
          <w:sz w:val="24"/>
          <w:szCs w:val="24"/>
        </w:rPr>
        <w:t>recommendations</w:t>
      </w:r>
      <w:r w:rsidR="00AE2F75">
        <w:rPr>
          <w:rFonts w:ascii="Arial" w:eastAsia="Times New Roman" w:hAnsi="Arial" w:cs="Arial"/>
          <w:sz w:val="24"/>
          <w:szCs w:val="24"/>
        </w:rPr>
        <w:t>:</w:t>
      </w:r>
    </w:p>
    <w:p w14:paraId="301F7F68" w14:textId="77777777" w:rsidR="0040207B" w:rsidRPr="00AE2F75" w:rsidRDefault="0040207B" w:rsidP="00113C90">
      <w:pPr>
        <w:pStyle w:val="sti-art"/>
        <w:spacing w:before="0" w:beforeAutospacing="0" w:after="0" w:afterAutospacing="0"/>
        <w:rPr>
          <w:rFonts w:ascii="Arial" w:hAnsi="Arial" w:cs="Arial"/>
          <w:sz w:val="22"/>
          <w:szCs w:val="22"/>
        </w:rPr>
      </w:pPr>
    </w:p>
    <w:p w14:paraId="7753D6B1" w14:textId="1B7C8AEF" w:rsidR="0040207B" w:rsidRPr="00AE2F75" w:rsidRDefault="0040207B" w:rsidP="000425CB">
      <w:pPr>
        <w:spacing w:after="0" w:line="240" w:lineRule="auto"/>
        <w:ind w:left="720"/>
        <w:rPr>
          <w:rFonts w:ascii="Arial" w:eastAsia="Times New Roman" w:hAnsi="Arial" w:cs="Arial"/>
        </w:rPr>
      </w:pPr>
      <w:r w:rsidRPr="00AE2F75">
        <w:rPr>
          <w:rFonts w:ascii="Arial" w:eastAsia="Times New Roman" w:hAnsi="Arial" w:cs="Arial"/>
        </w:rPr>
        <w:t>In the light of its general comment No 14 (2013) on the right of the child to have his or her best interests taken as a primary consideration, the Committee recommends that the State party strengthen its efforts to ensure that this right is appropriately integrated and consistently interpreted and applied in all legislative, administrative and judicial proceedings and decisions as well as in all policies, programmes and projects that are relevant to and have an impact on children. In this regard, the State party is encouraged to develop procedures and criteria to provide guidance to all relevant persons in authority for determining the best interests of the child in every area and for giving it due weight as a primary consideration.</w:t>
      </w:r>
      <w:r w:rsidR="000425CB" w:rsidRPr="00AE2F75">
        <w:rPr>
          <w:rStyle w:val="FootnoteReference"/>
          <w:rFonts w:ascii="Arial" w:eastAsia="Times New Roman" w:hAnsi="Arial" w:cs="Arial"/>
        </w:rPr>
        <w:footnoteReference w:id="61"/>
      </w:r>
      <w:r w:rsidRPr="00AE2F75">
        <w:rPr>
          <w:rFonts w:ascii="Arial" w:eastAsia="Times New Roman" w:hAnsi="Arial" w:cs="Arial"/>
        </w:rPr>
        <w:t xml:space="preserve"> </w:t>
      </w:r>
    </w:p>
    <w:p w14:paraId="436796BE" w14:textId="77777777" w:rsidR="0040207B" w:rsidRPr="00AE2F75" w:rsidRDefault="0040207B" w:rsidP="00113C90">
      <w:pPr>
        <w:pStyle w:val="sti-art"/>
        <w:spacing w:before="0" w:beforeAutospacing="0" w:after="0" w:afterAutospacing="0"/>
        <w:rPr>
          <w:rFonts w:ascii="Arial" w:hAnsi="Arial" w:cs="Arial"/>
          <w:sz w:val="24"/>
          <w:szCs w:val="24"/>
        </w:rPr>
      </w:pPr>
    </w:p>
    <w:p w14:paraId="7D49C83D" w14:textId="77777777" w:rsidR="000425CB" w:rsidRPr="00AE2F75" w:rsidRDefault="000425CB" w:rsidP="00113C90">
      <w:pPr>
        <w:pStyle w:val="sti-art"/>
        <w:spacing w:before="0" w:beforeAutospacing="0" w:after="0" w:afterAutospacing="0"/>
        <w:rPr>
          <w:rFonts w:ascii="Arial" w:hAnsi="Arial" w:cs="Arial"/>
          <w:sz w:val="24"/>
          <w:szCs w:val="24"/>
        </w:rPr>
      </w:pPr>
      <w:r w:rsidRPr="00AE2F75">
        <w:rPr>
          <w:rFonts w:ascii="Arial" w:hAnsi="Arial" w:cs="Arial"/>
          <w:sz w:val="24"/>
          <w:szCs w:val="24"/>
        </w:rPr>
        <w:t>In relation to the rights of children to an adequate standard of living:</w:t>
      </w:r>
    </w:p>
    <w:p w14:paraId="488FFA80" w14:textId="77777777" w:rsidR="000425CB" w:rsidRPr="00AE2F75" w:rsidRDefault="000425CB" w:rsidP="00113C90">
      <w:pPr>
        <w:pStyle w:val="sti-art"/>
        <w:spacing w:before="0" w:beforeAutospacing="0" w:after="0" w:afterAutospacing="0"/>
        <w:rPr>
          <w:rFonts w:ascii="Arial" w:hAnsi="Arial" w:cs="Arial"/>
          <w:sz w:val="24"/>
          <w:szCs w:val="24"/>
        </w:rPr>
      </w:pPr>
    </w:p>
    <w:p w14:paraId="5D5AC894" w14:textId="788EB006" w:rsidR="00AE2F75" w:rsidRPr="00AE2F75" w:rsidRDefault="00AE2F75" w:rsidP="00AE2F75">
      <w:pPr>
        <w:spacing w:after="0" w:line="240" w:lineRule="auto"/>
        <w:ind w:left="720"/>
        <w:rPr>
          <w:rFonts w:ascii="Arial" w:eastAsia="Times New Roman" w:hAnsi="Arial" w:cs="Arial"/>
        </w:rPr>
      </w:pPr>
      <w:r w:rsidRPr="00AE2F75">
        <w:rPr>
          <w:rFonts w:ascii="Arial" w:eastAsia="Times New Roman" w:hAnsi="Arial" w:cs="Arial"/>
        </w:rPr>
        <w:t xml:space="preserve">The Committee is deeply concerned at reports of families affected by homelessness facing significant delays in accessing social housing and frequently living in inappropriate, temporary or emergency accommodation on a long-term basis. </w:t>
      </w:r>
    </w:p>
    <w:p w14:paraId="4342FC7B" w14:textId="5C98B46A" w:rsidR="00AE2F75" w:rsidRPr="00AE2F75" w:rsidRDefault="00AE2F75" w:rsidP="00AE2F75">
      <w:pPr>
        <w:spacing w:after="0" w:line="240" w:lineRule="auto"/>
        <w:ind w:left="720"/>
        <w:rPr>
          <w:rFonts w:ascii="Arial" w:eastAsia="Times New Roman" w:hAnsi="Arial" w:cs="Arial"/>
        </w:rPr>
      </w:pPr>
      <w:r w:rsidRPr="00AE2F75">
        <w:rPr>
          <w:rFonts w:ascii="Arial" w:eastAsia="Times New Roman" w:hAnsi="Arial" w:cs="Arial"/>
        </w:rPr>
        <w:t>The Committee urges the State party to undertake measures to increase the availability of social housing and emergency housing support. In doing so, the State party should ensure that the housing and support provided through those measures are appropriate to the needs of the children affected and subject to adequate safeguards, reviews and evaluations.</w:t>
      </w:r>
      <w:r w:rsidRPr="00AE2F75">
        <w:rPr>
          <w:rStyle w:val="FootnoteReference"/>
          <w:rFonts w:ascii="Arial" w:eastAsia="Times New Roman" w:hAnsi="Arial" w:cs="Arial"/>
        </w:rPr>
        <w:footnoteReference w:id="62"/>
      </w:r>
    </w:p>
    <w:p w14:paraId="780EC851" w14:textId="1293BB95" w:rsidR="0040207B" w:rsidRDefault="0040207B" w:rsidP="00113C90">
      <w:pPr>
        <w:pStyle w:val="sti-art"/>
        <w:spacing w:before="0" w:beforeAutospacing="0" w:after="0" w:afterAutospacing="0"/>
        <w:rPr>
          <w:rFonts w:ascii="Arial" w:hAnsi="Arial" w:cs="Arial"/>
          <w:sz w:val="24"/>
          <w:szCs w:val="24"/>
        </w:rPr>
      </w:pPr>
    </w:p>
    <w:p w14:paraId="347A6E51" w14:textId="2BD63296" w:rsidR="00BD55BD" w:rsidRPr="000911FE" w:rsidRDefault="00B7258E" w:rsidP="00BD55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4"/>
          <w:szCs w:val="24"/>
        </w:rPr>
      </w:pPr>
      <w:r w:rsidRPr="00113C90">
        <w:rPr>
          <w:rFonts w:ascii="Arial" w:hAnsi="Arial" w:cs="Arial"/>
          <w:sz w:val="24"/>
          <w:szCs w:val="24"/>
        </w:rPr>
        <w:t xml:space="preserve">Article 26 of the </w:t>
      </w:r>
      <w:r w:rsidR="00160C04">
        <w:rPr>
          <w:rFonts w:ascii="Arial" w:hAnsi="Arial" w:cs="Arial"/>
          <w:sz w:val="24"/>
          <w:szCs w:val="24"/>
        </w:rPr>
        <w:t>C</w:t>
      </w:r>
      <w:r w:rsidR="00742739">
        <w:rPr>
          <w:rFonts w:ascii="Arial" w:hAnsi="Arial" w:cs="Arial"/>
          <w:sz w:val="24"/>
          <w:szCs w:val="24"/>
        </w:rPr>
        <w:t>harter</w:t>
      </w:r>
      <w:r w:rsidR="00812BC1" w:rsidRPr="00113C90">
        <w:rPr>
          <w:rFonts w:ascii="Arial" w:hAnsi="Arial" w:cs="Arial"/>
          <w:sz w:val="24"/>
          <w:szCs w:val="24"/>
        </w:rPr>
        <w:t xml:space="preserve"> </w:t>
      </w:r>
      <w:r w:rsidRPr="00113C90">
        <w:rPr>
          <w:rFonts w:ascii="Arial" w:hAnsi="Arial" w:cs="Arial"/>
          <w:sz w:val="24"/>
          <w:szCs w:val="24"/>
        </w:rPr>
        <w:t xml:space="preserve">on the integration of persons with disabilities </w:t>
      </w:r>
      <w:r w:rsidR="006B2DC0">
        <w:rPr>
          <w:rFonts w:ascii="Arial" w:hAnsi="Arial" w:cs="Arial"/>
          <w:sz w:val="24"/>
          <w:szCs w:val="24"/>
        </w:rPr>
        <w:t xml:space="preserve">sets out obligations </w:t>
      </w:r>
      <w:r w:rsidRPr="00113C90">
        <w:rPr>
          <w:rFonts w:ascii="Arial" w:hAnsi="Arial" w:cs="Arial"/>
          <w:sz w:val="24"/>
          <w:szCs w:val="24"/>
        </w:rPr>
        <w:t xml:space="preserve">to recognize and respect the rights of persons with disabilities to benefit from measures designed to ensure their independence, social and occupational </w:t>
      </w:r>
      <w:r w:rsidRPr="000911FE">
        <w:rPr>
          <w:rFonts w:ascii="Arial" w:hAnsi="Arial" w:cs="Arial"/>
          <w:sz w:val="24"/>
          <w:szCs w:val="24"/>
        </w:rPr>
        <w:t xml:space="preserve">integration and participation in the life of the community. The </w:t>
      </w:r>
      <w:r w:rsidR="00871ECA" w:rsidRPr="000911FE">
        <w:rPr>
          <w:rFonts w:ascii="Arial" w:hAnsi="Arial" w:cs="Arial"/>
          <w:i/>
          <w:sz w:val="24"/>
          <w:szCs w:val="24"/>
        </w:rPr>
        <w:t>Explanations</w:t>
      </w:r>
      <w:r w:rsidRPr="000911FE">
        <w:rPr>
          <w:rFonts w:ascii="Arial" w:hAnsi="Arial" w:cs="Arial"/>
          <w:sz w:val="24"/>
          <w:szCs w:val="24"/>
        </w:rPr>
        <w:t xml:space="preserve"> state that this Article is based on Article 15 of the European Social </w:t>
      </w:r>
      <w:r w:rsidR="00160C04" w:rsidRPr="000911FE">
        <w:rPr>
          <w:rFonts w:ascii="Arial" w:hAnsi="Arial" w:cs="Arial"/>
          <w:sz w:val="24"/>
          <w:szCs w:val="24"/>
        </w:rPr>
        <w:t>Charter</w:t>
      </w:r>
      <w:r w:rsidR="002125A7" w:rsidRPr="000911FE">
        <w:rPr>
          <w:rFonts w:ascii="Arial" w:hAnsi="Arial" w:cs="Arial"/>
          <w:sz w:val="24"/>
          <w:szCs w:val="24"/>
        </w:rPr>
        <w:t>.</w:t>
      </w:r>
      <w:r w:rsidRPr="000911FE">
        <w:rPr>
          <w:rFonts w:ascii="Arial" w:hAnsi="Arial" w:cs="Arial"/>
          <w:sz w:val="24"/>
          <w:szCs w:val="24"/>
        </w:rPr>
        <w:t xml:space="preserve"> </w:t>
      </w:r>
      <w:r w:rsidR="00BD55BD" w:rsidRPr="000911FE">
        <w:rPr>
          <w:rFonts w:ascii="Arial" w:hAnsi="Arial" w:cs="Arial"/>
          <w:sz w:val="24"/>
          <w:szCs w:val="24"/>
        </w:rPr>
        <w:t xml:space="preserve">The </w:t>
      </w:r>
      <w:r w:rsidR="000911FE" w:rsidRPr="000911FE">
        <w:rPr>
          <w:rFonts w:ascii="Arial" w:hAnsi="Arial" w:cs="Arial"/>
          <w:sz w:val="24"/>
          <w:szCs w:val="24"/>
        </w:rPr>
        <w:t xml:space="preserve">EU concluded the </w:t>
      </w:r>
      <w:r w:rsidR="00BD55BD" w:rsidRPr="000911FE">
        <w:rPr>
          <w:rFonts w:ascii="Arial" w:hAnsi="Arial" w:cs="Arial"/>
          <w:i/>
          <w:iCs/>
          <w:sz w:val="24"/>
          <w:szCs w:val="24"/>
        </w:rPr>
        <w:t>UN Convention on the Rights of Persons with Disabilities and the Optional Protocol</w:t>
      </w:r>
      <w:r w:rsidR="00BD55BD" w:rsidRPr="000911FE">
        <w:rPr>
          <w:rStyle w:val="FootnoteReference"/>
          <w:rFonts w:ascii="Arial" w:hAnsi="Arial" w:cs="Arial"/>
          <w:i/>
          <w:iCs/>
          <w:sz w:val="24"/>
          <w:szCs w:val="24"/>
        </w:rPr>
        <w:footnoteReference w:id="63"/>
      </w:r>
      <w:r w:rsidR="00E54F96" w:rsidRPr="000911FE">
        <w:rPr>
          <w:rFonts w:ascii="Arial" w:hAnsi="Arial" w:cs="Arial"/>
          <w:color w:val="000000"/>
          <w:sz w:val="24"/>
          <w:szCs w:val="24"/>
        </w:rPr>
        <w:t xml:space="preserve"> </w:t>
      </w:r>
      <w:r w:rsidR="000911FE" w:rsidRPr="000911FE">
        <w:rPr>
          <w:rFonts w:ascii="Arial" w:hAnsi="Arial" w:cs="Arial"/>
          <w:color w:val="000000"/>
          <w:sz w:val="24"/>
          <w:szCs w:val="24"/>
        </w:rPr>
        <w:t>in 2011, and it has been signed and ratified by</w:t>
      </w:r>
      <w:r w:rsidR="00E54F96" w:rsidRPr="000911FE">
        <w:rPr>
          <w:rFonts w:ascii="Arial" w:hAnsi="Arial" w:cs="Arial"/>
          <w:color w:val="000000"/>
          <w:sz w:val="24"/>
          <w:szCs w:val="24"/>
        </w:rPr>
        <w:t xml:space="preserve"> almost all (except Ireland), creating a range of non-discrimination obligations, and promotion of independent living, for persons with disabilities. </w:t>
      </w:r>
      <w:r w:rsidR="00BD55BD" w:rsidRPr="000911FE">
        <w:rPr>
          <w:rFonts w:ascii="Arial" w:hAnsi="Arial" w:cs="Arial"/>
          <w:sz w:val="24"/>
          <w:szCs w:val="24"/>
          <w:lang w:val="en-US"/>
        </w:rPr>
        <w:t>According to Article 216(2) TFEU, agreements concluded by the Union are</w:t>
      </w:r>
      <w:r w:rsidR="00E54F96" w:rsidRPr="000911FE">
        <w:rPr>
          <w:rFonts w:ascii="Arial" w:hAnsi="Arial" w:cs="Arial"/>
          <w:sz w:val="24"/>
          <w:szCs w:val="24"/>
          <w:lang w:val="en-US"/>
        </w:rPr>
        <w:t xml:space="preserve"> </w:t>
      </w:r>
      <w:r w:rsidR="00BD55BD" w:rsidRPr="000911FE">
        <w:rPr>
          <w:rFonts w:ascii="Arial" w:hAnsi="Arial" w:cs="Arial"/>
          <w:sz w:val="24"/>
          <w:szCs w:val="24"/>
          <w:lang w:val="en-US"/>
        </w:rPr>
        <w:t>binding on its institutions and its Member States</w:t>
      </w:r>
      <w:r w:rsidR="00E077B2">
        <w:rPr>
          <w:rFonts w:ascii="Arial" w:hAnsi="Arial" w:cs="Arial"/>
          <w:sz w:val="24"/>
          <w:szCs w:val="24"/>
          <w:lang w:val="en-US"/>
        </w:rPr>
        <w:t>.</w:t>
      </w:r>
      <w:r w:rsidR="000911FE" w:rsidRPr="000911FE">
        <w:rPr>
          <w:rStyle w:val="FootnoteReference"/>
          <w:rFonts w:ascii="Arial" w:hAnsi="Arial" w:cs="Arial"/>
          <w:sz w:val="24"/>
          <w:szCs w:val="24"/>
          <w:lang w:val="en-US"/>
        </w:rPr>
        <w:footnoteReference w:id="64"/>
      </w:r>
    </w:p>
    <w:p w14:paraId="12DF2A5E" w14:textId="45EE6899" w:rsidR="00B7258E" w:rsidRPr="00113C90" w:rsidRDefault="00B7258E" w:rsidP="00113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4"/>
          <w:szCs w:val="24"/>
        </w:rPr>
      </w:pPr>
      <w:r w:rsidRPr="00113C90">
        <w:rPr>
          <w:rFonts w:ascii="Arial" w:hAnsi="Arial" w:cs="Arial"/>
          <w:sz w:val="24"/>
          <w:szCs w:val="24"/>
        </w:rPr>
        <w:t xml:space="preserve">                                           </w:t>
      </w:r>
    </w:p>
    <w:p w14:paraId="69FFC3FD" w14:textId="0C5CC6A9" w:rsidR="00B7258E" w:rsidRDefault="00B7258E" w:rsidP="00113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4"/>
          <w:szCs w:val="24"/>
        </w:rPr>
      </w:pPr>
      <w:r w:rsidRPr="00113C90">
        <w:rPr>
          <w:rFonts w:ascii="Arial" w:hAnsi="Arial" w:cs="Arial"/>
          <w:sz w:val="24"/>
          <w:szCs w:val="24"/>
        </w:rPr>
        <w:t xml:space="preserve">Article 33(1) of the </w:t>
      </w:r>
      <w:r w:rsidR="00160C04">
        <w:rPr>
          <w:rFonts w:ascii="Arial" w:hAnsi="Arial" w:cs="Arial"/>
          <w:sz w:val="24"/>
          <w:szCs w:val="24"/>
        </w:rPr>
        <w:t>C</w:t>
      </w:r>
      <w:r w:rsidR="006A07F2">
        <w:rPr>
          <w:rFonts w:ascii="Arial" w:hAnsi="Arial" w:cs="Arial"/>
          <w:sz w:val="24"/>
          <w:szCs w:val="24"/>
        </w:rPr>
        <w:t>harter</w:t>
      </w:r>
      <w:r w:rsidRPr="00113C90">
        <w:rPr>
          <w:rFonts w:ascii="Arial" w:hAnsi="Arial" w:cs="Arial"/>
          <w:sz w:val="24"/>
          <w:szCs w:val="24"/>
        </w:rPr>
        <w:t xml:space="preserve"> states in identical wording to Article 16 of the European Social </w:t>
      </w:r>
      <w:r w:rsidR="00160C04">
        <w:rPr>
          <w:rFonts w:ascii="Arial" w:hAnsi="Arial" w:cs="Arial"/>
          <w:sz w:val="24"/>
          <w:szCs w:val="24"/>
        </w:rPr>
        <w:t>Charter</w:t>
      </w:r>
      <w:r w:rsidRPr="00113C90">
        <w:rPr>
          <w:rFonts w:ascii="Arial" w:hAnsi="Arial" w:cs="Arial"/>
          <w:sz w:val="24"/>
          <w:szCs w:val="24"/>
        </w:rPr>
        <w:t xml:space="preserve"> </w:t>
      </w:r>
      <w:r w:rsidR="00812BC1" w:rsidRPr="00113C90">
        <w:rPr>
          <w:rFonts w:ascii="Arial" w:hAnsi="Arial" w:cs="Arial"/>
          <w:sz w:val="24"/>
          <w:szCs w:val="24"/>
        </w:rPr>
        <w:t xml:space="preserve">(ESC) </w:t>
      </w:r>
      <w:r w:rsidRPr="00113C90">
        <w:rPr>
          <w:rFonts w:ascii="Arial" w:hAnsi="Arial" w:cs="Arial"/>
          <w:sz w:val="24"/>
          <w:szCs w:val="24"/>
        </w:rPr>
        <w:t>that: “The family shall enjoy legal, economic and social protection”.</w:t>
      </w:r>
      <w:r w:rsidRPr="00113C90">
        <w:rPr>
          <w:rStyle w:val="FootnoteReference"/>
          <w:rFonts w:ascii="Arial" w:hAnsi="Arial" w:cs="Arial"/>
          <w:sz w:val="24"/>
          <w:szCs w:val="24"/>
        </w:rPr>
        <w:footnoteReference w:id="65"/>
      </w:r>
      <w:r w:rsidRPr="00113C90">
        <w:rPr>
          <w:rFonts w:ascii="Arial" w:hAnsi="Arial" w:cs="Arial"/>
          <w:sz w:val="24"/>
          <w:szCs w:val="24"/>
        </w:rPr>
        <w:t xml:space="preserve"> </w:t>
      </w:r>
      <w:r w:rsidR="00812BC1" w:rsidRPr="00113C90">
        <w:rPr>
          <w:rFonts w:ascii="Arial" w:hAnsi="Arial" w:cs="Arial"/>
          <w:color w:val="000000"/>
          <w:sz w:val="24"/>
          <w:szCs w:val="24"/>
        </w:rPr>
        <w:t>Thus</w:t>
      </w:r>
      <w:r w:rsidR="006B2DC0">
        <w:rPr>
          <w:rFonts w:ascii="Arial" w:hAnsi="Arial" w:cs="Arial"/>
          <w:color w:val="000000"/>
          <w:sz w:val="24"/>
          <w:szCs w:val="24"/>
        </w:rPr>
        <w:t>,</w:t>
      </w:r>
      <w:r w:rsidR="00812BC1" w:rsidRPr="00113C90">
        <w:rPr>
          <w:rFonts w:ascii="Arial" w:hAnsi="Arial" w:cs="Arial"/>
          <w:color w:val="000000"/>
          <w:sz w:val="24"/>
          <w:szCs w:val="24"/>
        </w:rPr>
        <w:t xml:space="preserve"> Article 33 </w:t>
      </w:r>
      <w:r w:rsidR="006A07F2">
        <w:rPr>
          <w:rFonts w:ascii="Arial" w:hAnsi="Arial" w:cs="Arial"/>
          <w:color w:val="000000"/>
          <w:sz w:val="24"/>
          <w:szCs w:val="24"/>
        </w:rPr>
        <w:t>of the Charter</w:t>
      </w:r>
      <w:r w:rsidR="00812BC1" w:rsidRPr="00113C90">
        <w:rPr>
          <w:rFonts w:ascii="Arial" w:hAnsi="Arial" w:cs="Arial"/>
          <w:color w:val="000000"/>
          <w:sz w:val="24"/>
          <w:szCs w:val="24"/>
        </w:rPr>
        <w:t xml:space="preserve"> obligations, once engaged, are the </w:t>
      </w:r>
      <w:r w:rsidR="00812BC1" w:rsidRPr="00113C90">
        <w:rPr>
          <w:rFonts w:ascii="Arial" w:hAnsi="Arial" w:cs="Arial"/>
          <w:color w:val="000000"/>
          <w:sz w:val="24"/>
          <w:szCs w:val="24"/>
        </w:rPr>
        <w:lastRenderedPageBreak/>
        <w:t>same as Article 16 ESC where “</w:t>
      </w:r>
      <w:r w:rsidRPr="00113C90">
        <w:rPr>
          <w:rFonts w:ascii="Arial" w:hAnsi="Arial" w:cs="Arial"/>
          <w:sz w:val="24"/>
          <w:szCs w:val="24"/>
        </w:rPr>
        <w:t>states must promote the provision of an adequate supply of housing for families, take the needs of families into account in housing policies and ensure that existing housing be of an adequate standard  and include essential services (such as heating and electricity)</w:t>
      </w:r>
      <w:r w:rsidR="00812BC1" w:rsidRPr="00113C90">
        <w:rPr>
          <w:rFonts w:ascii="Arial" w:hAnsi="Arial" w:cs="Arial"/>
          <w:sz w:val="24"/>
          <w:szCs w:val="24"/>
        </w:rPr>
        <w:t>….</w:t>
      </w:r>
      <w:r w:rsidRPr="00113C90">
        <w:rPr>
          <w:rFonts w:ascii="Arial" w:hAnsi="Arial" w:cs="Arial"/>
          <w:sz w:val="24"/>
          <w:szCs w:val="24"/>
        </w:rPr>
        <w:t>adequate housing refers not only to a dwelling which must not be sub-standard and must have essential amenities, but also to a dwelling of suitable size considering the composition of the family in residence.</w:t>
      </w:r>
      <w:r w:rsidR="00812BC1" w:rsidRPr="00113C90">
        <w:rPr>
          <w:rStyle w:val="FootnoteReference"/>
          <w:rFonts w:ascii="Arial" w:hAnsi="Arial" w:cs="Arial"/>
          <w:sz w:val="24"/>
          <w:szCs w:val="24"/>
        </w:rPr>
        <w:t xml:space="preserve"> </w:t>
      </w:r>
      <w:r w:rsidR="00812BC1" w:rsidRPr="00113C90">
        <w:rPr>
          <w:rStyle w:val="FootnoteReference"/>
          <w:rFonts w:ascii="Arial" w:hAnsi="Arial" w:cs="Arial"/>
          <w:sz w:val="24"/>
          <w:szCs w:val="24"/>
        </w:rPr>
        <w:footnoteReference w:id="66"/>
      </w:r>
      <w:r w:rsidRPr="00113C90">
        <w:rPr>
          <w:rFonts w:ascii="Arial" w:hAnsi="Arial" w:cs="Arial"/>
          <w:sz w:val="24"/>
          <w:szCs w:val="24"/>
        </w:rPr>
        <w:t xml:space="preserve"> </w:t>
      </w:r>
      <w:r w:rsidR="00E12E37">
        <w:rPr>
          <w:rFonts w:ascii="Arial" w:hAnsi="Arial" w:cs="Arial"/>
          <w:sz w:val="24"/>
          <w:szCs w:val="24"/>
        </w:rPr>
        <w:t>This Article and its associated provisions could be applied to protect family members who act as con</w:t>
      </w:r>
      <w:r w:rsidR="006B2DC0">
        <w:rPr>
          <w:rFonts w:ascii="Arial" w:hAnsi="Arial" w:cs="Arial"/>
          <w:sz w:val="24"/>
          <w:szCs w:val="24"/>
        </w:rPr>
        <w:t>s</w:t>
      </w:r>
      <w:r w:rsidR="00E12E37">
        <w:rPr>
          <w:rFonts w:ascii="Arial" w:hAnsi="Arial" w:cs="Arial"/>
          <w:sz w:val="24"/>
          <w:szCs w:val="24"/>
        </w:rPr>
        <w:t>umer credit guarantors for a relative, if they have received misleading information by a financial institution.</w:t>
      </w:r>
      <w:r w:rsidR="003529B5">
        <w:rPr>
          <w:rStyle w:val="FootnoteReference"/>
          <w:rFonts w:ascii="Arial" w:hAnsi="Arial" w:cs="Arial"/>
          <w:sz w:val="24"/>
          <w:szCs w:val="24"/>
        </w:rPr>
        <w:footnoteReference w:id="67"/>
      </w:r>
    </w:p>
    <w:p w14:paraId="22BEE686" w14:textId="77777777" w:rsidR="00B7258E" w:rsidRPr="00113C90" w:rsidRDefault="00B7258E" w:rsidP="00113C90">
      <w:pPr>
        <w:spacing w:after="0" w:line="240" w:lineRule="auto"/>
        <w:rPr>
          <w:rFonts w:ascii="Arial" w:hAnsi="Arial" w:cs="Arial"/>
          <w:b/>
          <w:i/>
          <w:sz w:val="24"/>
          <w:szCs w:val="24"/>
          <w:lang w:val="en-GB" w:eastAsia="en-GB"/>
        </w:rPr>
      </w:pPr>
    </w:p>
    <w:p w14:paraId="109E6478" w14:textId="472A559B" w:rsidR="00B7258E" w:rsidRPr="00113C90" w:rsidRDefault="00B7258E" w:rsidP="00113C90">
      <w:pPr>
        <w:pStyle w:val="BodyText"/>
        <w:jc w:val="both"/>
        <w:rPr>
          <w:rFonts w:ascii="Arial" w:hAnsi="Arial" w:cs="Arial"/>
          <w:b w:val="0"/>
        </w:rPr>
      </w:pPr>
      <w:r w:rsidRPr="00113C90">
        <w:rPr>
          <w:rFonts w:ascii="Arial" w:hAnsi="Arial" w:cs="Arial"/>
          <w:b w:val="0"/>
        </w:rPr>
        <w:t xml:space="preserve">While there is not </w:t>
      </w:r>
      <w:r w:rsidR="0043253E">
        <w:rPr>
          <w:rFonts w:ascii="Arial" w:hAnsi="Arial" w:cs="Arial"/>
          <w:b w:val="0"/>
        </w:rPr>
        <w:t xml:space="preserve">a </w:t>
      </w:r>
      <w:r w:rsidRPr="00113C90">
        <w:rPr>
          <w:rFonts w:ascii="Arial" w:hAnsi="Arial" w:cs="Arial"/>
          <w:b w:val="0"/>
        </w:rPr>
        <w:t xml:space="preserve">specifically enforceable right to housing in the </w:t>
      </w:r>
      <w:r w:rsidR="00160C04">
        <w:rPr>
          <w:rFonts w:ascii="Arial" w:hAnsi="Arial" w:cs="Arial"/>
          <w:b w:val="0"/>
        </w:rPr>
        <w:t>C</w:t>
      </w:r>
      <w:r w:rsidR="006A07F2">
        <w:rPr>
          <w:rFonts w:ascii="Arial" w:hAnsi="Arial" w:cs="Arial"/>
          <w:b w:val="0"/>
        </w:rPr>
        <w:t>harter</w:t>
      </w:r>
      <w:r w:rsidRPr="00113C90">
        <w:rPr>
          <w:rFonts w:ascii="Arial" w:hAnsi="Arial" w:cs="Arial"/>
          <w:b w:val="0"/>
        </w:rPr>
        <w:t>, Article 34(3) on social security and social assistance states:</w:t>
      </w:r>
    </w:p>
    <w:p w14:paraId="27811581" w14:textId="77777777" w:rsidR="00B7258E" w:rsidRPr="00113C90" w:rsidRDefault="00B7258E" w:rsidP="00113C90">
      <w:pPr>
        <w:spacing w:after="0" w:line="240" w:lineRule="auto"/>
        <w:rPr>
          <w:rFonts w:ascii="Arial" w:hAnsi="Arial" w:cs="Arial"/>
          <w:sz w:val="24"/>
          <w:szCs w:val="24"/>
        </w:rPr>
      </w:pPr>
    </w:p>
    <w:p w14:paraId="1E22BB66" w14:textId="77777777" w:rsidR="00B7258E" w:rsidRPr="006A07F2" w:rsidRDefault="00B7258E" w:rsidP="006A07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rPr>
          <w:rFonts w:ascii="Arial" w:hAnsi="Arial" w:cs="Arial"/>
        </w:rPr>
      </w:pPr>
      <w:r w:rsidRPr="006A07F2">
        <w:rPr>
          <w:rFonts w:ascii="Arial" w:hAnsi="Arial" w:cs="Arial"/>
        </w:rPr>
        <w:t>In order to combat social exclusion and poverty, the Union recognises and respects the right to social and housing assistance so as to ensure a decent existence for all those who lack sufficient resources, in accordance with the rules laid down by Union law and national laws and practices.</w:t>
      </w:r>
      <w:r w:rsidRPr="006A07F2">
        <w:rPr>
          <w:rStyle w:val="FootnoteReference"/>
          <w:rFonts w:ascii="Arial" w:hAnsi="Arial" w:cs="Arial"/>
        </w:rPr>
        <w:footnoteReference w:id="68"/>
      </w:r>
      <w:r w:rsidRPr="006A07F2">
        <w:rPr>
          <w:rFonts w:ascii="Arial" w:hAnsi="Arial" w:cs="Arial"/>
        </w:rPr>
        <w:t xml:space="preserve"> </w:t>
      </w:r>
    </w:p>
    <w:p w14:paraId="357C011C" w14:textId="77777777" w:rsidR="00B7258E" w:rsidRPr="00113C90" w:rsidRDefault="00B7258E" w:rsidP="00113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4"/>
          <w:szCs w:val="24"/>
        </w:rPr>
      </w:pPr>
    </w:p>
    <w:p w14:paraId="1AAFDC9F" w14:textId="0901EB09" w:rsidR="009F5C67" w:rsidRPr="00113C90" w:rsidRDefault="00B7258E" w:rsidP="00113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4"/>
          <w:szCs w:val="24"/>
        </w:rPr>
      </w:pPr>
      <w:r w:rsidRPr="00113C90">
        <w:rPr>
          <w:rFonts w:ascii="Arial" w:hAnsi="Arial" w:cs="Arial"/>
          <w:sz w:val="24"/>
          <w:szCs w:val="24"/>
        </w:rPr>
        <w:t xml:space="preserve">The </w:t>
      </w:r>
      <w:r w:rsidR="00871ECA">
        <w:rPr>
          <w:rFonts w:ascii="Arial" w:hAnsi="Arial" w:cs="Arial"/>
          <w:i/>
          <w:sz w:val="24"/>
          <w:szCs w:val="24"/>
        </w:rPr>
        <w:t>Explanations</w:t>
      </w:r>
      <w:r w:rsidRPr="00113C90">
        <w:rPr>
          <w:rFonts w:ascii="Arial" w:hAnsi="Arial" w:cs="Arial"/>
          <w:i/>
          <w:sz w:val="24"/>
          <w:szCs w:val="24"/>
        </w:rPr>
        <w:t xml:space="preserve"> </w:t>
      </w:r>
      <w:r w:rsidRPr="00113C90">
        <w:rPr>
          <w:rFonts w:ascii="Arial" w:hAnsi="Arial" w:cs="Arial"/>
          <w:color w:val="000000"/>
          <w:sz w:val="24"/>
          <w:szCs w:val="24"/>
        </w:rPr>
        <w:t xml:space="preserve">state that paragraph 34(3) of the </w:t>
      </w:r>
      <w:r w:rsidR="00160C04">
        <w:rPr>
          <w:rFonts w:ascii="Arial" w:hAnsi="Arial" w:cs="Arial"/>
          <w:color w:val="000000"/>
          <w:sz w:val="24"/>
          <w:szCs w:val="24"/>
        </w:rPr>
        <w:t>Charter</w:t>
      </w:r>
      <w:r w:rsidRPr="00113C90">
        <w:rPr>
          <w:rFonts w:ascii="Arial" w:hAnsi="Arial" w:cs="Arial"/>
          <w:color w:val="000000"/>
          <w:sz w:val="24"/>
          <w:szCs w:val="24"/>
        </w:rPr>
        <w:t xml:space="preserve"> </w:t>
      </w:r>
      <w:r w:rsidRPr="00FB7CB9">
        <w:rPr>
          <w:rFonts w:ascii="Arial" w:hAnsi="Arial" w:cs="Arial"/>
          <w:color w:val="000000"/>
          <w:sz w:val="24"/>
          <w:szCs w:val="24"/>
        </w:rPr>
        <w:t>“</w:t>
      </w:r>
      <w:r w:rsidRPr="00FB7CB9">
        <w:rPr>
          <w:rFonts w:ascii="Arial" w:hAnsi="Arial" w:cs="Arial"/>
          <w:sz w:val="24"/>
          <w:szCs w:val="24"/>
        </w:rPr>
        <w:t xml:space="preserve">draws on Article 13 of the European Social </w:t>
      </w:r>
      <w:r w:rsidR="00160C04" w:rsidRPr="00FB7CB9">
        <w:rPr>
          <w:rFonts w:ascii="Arial" w:hAnsi="Arial" w:cs="Arial"/>
          <w:sz w:val="24"/>
          <w:szCs w:val="24"/>
        </w:rPr>
        <w:t>Charter</w:t>
      </w:r>
      <w:r w:rsidRPr="00FB7CB9">
        <w:rPr>
          <w:rFonts w:ascii="Arial" w:hAnsi="Arial" w:cs="Arial"/>
          <w:sz w:val="24"/>
          <w:szCs w:val="24"/>
        </w:rPr>
        <w:t xml:space="preserve"> and Articles 30 and 31 of the revised Social </w:t>
      </w:r>
      <w:r w:rsidR="00160C04" w:rsidRPr="00FB7CB9">
        <w:rPr>
          <w:rFonts w:ascii="Arial" w:hAnsi="Arial" w:cs="Arial"/>
          <w:sz w:val="24"/>
          <w:szCs w:val="24"/>
        </w:rPr>
        <w:t>Charter</w:t>
      </w:r>
      <w:r w:rsidRPr="00FB7CB9">
        <w:rPr>
          <w:rFonts w:ascii="Arial" w:hAnsi="Arial" w:cs="Arial"/>
          <w:sz w:val="24"/>
          <w:szCs w:val="24"/>
        </w:rPr>
        <w:t xml:space="preserve"> and point 10 of the Community </w:t>
      </w:r>
      <w:r w:rsidR="00160C04" w:rsidRPr="00FB7CB9">
        <w:rPr>
          <w:rFonts w:ascii="Arial" w:hAnsi="Arial" w:cs="Arial"/>
          <w:sz w:val="24"/>
          <w:szCs w:val="24"/>
        </w:rPr>
        <w:t>Charter</w:t>
      </w:r>
      <w:r w:rsidRPr="00FB7CB9">
        <w:rPr>
          <w:rFonts w:ascii="Arial" w:hAnsi="Arial" w:cs="Arial"/>
          <w:sz w:val="24"/>
          <w:szCs w:val="24"/>
        </w:rPr>
        <w:t>.</w:t>
      </w:r>
      <w:r w:rsidRPr="00113C90">
        <w:rPr>
          <w:rFonts w:ascii="Arial" w:hAnsi="Arial" w:cs="Arial"/>
          <w:i/>
          <w:sz w:val="24"/>
          <w:szCs w:val="24"/>
        </w:rPr>
        <w:t>”</w:t>
      </w:r>
      <w:r w:rsidR="00FB7CB9">
        <w:rPr>
          <w:rFonts w:ascii="Arial" w:hAnsi="Arial" w:cs="Arial"/>
          <w:i/>
          <w:sz w:val="24"/>
          <w:szCs w:val="24"/>
        </w:rPr>
        <w:t xml:space="preserve"> </w:t>
      </w:r>
      <w:r w:rsidR="006A07F2">
        <w:rPr>
          <w:rFonts w:ascii="Arial" w:hAnsi="Arial" w:cs="Arial"/>
          <w:sz w:val="24"/>
          <w:szCs w:val="24"/>
        </w:rPr>
        <w:t xml:space="preserve">Clearly, </w:t>
      </w:r>
      <w:r w:rsidRPr="00113C90">
        <w:rPr>
          <w:rFonts w:ascii="Arial" w:hAnsi="Arial" w:cs="Arial"/>
          <w:sz w:val="24"/>
          <w:szCs w:val="24"/>
        </w:rPr>
        <w:t xml:space="preserve">the interpretation of Article 34(3) will draw on the jurisprudence of the </w:t>
      </w:r>
      <w:r w:rsidR="007B44DE" w:rsidRPr="00113C90">
        <w:rPr>
          <w:rFonts w:ascii="Arial" w:hAnsi="Arial" w:cs="Arial"/>
          <w:sz w:val="24"/>
          <w:szCs w:val="24"/>
        </w:rPr>
        <w:t xml:space="preserve">Council of Europe </w:t>
      </w:r>
      <w:r w:rsidRPr="00113C90">
        <w:rPr>
          <w:rFonts w:ascii="Arial" w:hAnsi="Arial" w:cs="Arial"/>
          <w:sz w:val="24"/>
          <w:szCs w:val="24"/>
        </w:rPr>
        <w:t xml:space="preserve">European Committee of Social Rights </w:t>
      </w:r>
      <w:r w:rsidR="006B2DC0">
        <w:rPr>
          <w:rFonts w:ascii="Arial" w:hAnsi="Arial" w:cs="Arial"/>
          <w:sz w:val="24"/>
          <w:szCs w:val="24"/>
        </w:rPr>
        <w:t xml:space="preserve">(ECSR) </w:t>
      </w:r>
      <w:r w:rsidR="007B44DE" w:rsidRPr="00113C90">
        <w:rPr>
          <w:rFonts w:ascii="Arial" w:hAnsi="Arial" w:cs="Arial"/>
          <w:sz w:val="24"/>
          <w:szCs w:val="24"/>
        </w:rPr>
        <w:t xml:space="preserve">and </w:t>
      </w:r>
      <w:r w:rsidRPr="00113C90">
        <w:rPr>
          <w:rFonts w:ascii="Arial" w:hAnsi="Arial" w:cs="Arial"/>
          <w:sz w:val="24"/>
          <w:szCs w:val="24"/>
        </w:rPr>
        <w:t xml:space="preserve">there is a </w:t>
      </w:r>
      <w:r w:rsidRPr="006B2DC0">
        <w:rPr>
          <w:rFonts w:ascii="Arial" w:hAnsi="Arial" w:cs="Arial"/>
          <w:i/>
          <w:sz w:val="24"/>
          <w:szCs w:val="24"/>
        </w:rPr>
        <w:t>corpus</w:t>
      </w:r>
      <w:r w:rsidRPr="00113C90">
        <w:rPr>
          <w:rFonts w:ascii="Arial" w:hAnsi="Arial" w:cs="Arial"/>
          <w:sz w:val="24"/>
          <w:szCs w:val="24"/>
        </w:rPr>
        <w:t xml:space="preserve"> of jurisprudence from the ECSR through its Conclusions and its Decisions on Collective Complaints.</w:t>
      </w:r>
      <w:r w:rsidRPr="00113C90">
        <w:rPr>
          <w:rStyle w:val="FootnoteReference"/>
          <w:rFonts w:ascii="Arial" w:hAnsi="Arial" w:cs="Arial"/>
          <w:sz w:val="24"/>
          <w:szCs w:val="24"/>
        </w:rPr>
        <w:footnoteReference w:id="69"/>
      </w:r>
      <w:r w:rsidRPr="00113C90">
        <w:rPr>
          <w:rFonts w:ascii="Arial" w:hAnsi="Arial" w:cs="Arial"/>
          <w:sz w:val="24"/>
          <w:szCs w:val="24"/>
        </w:rPr>
        <w:t xml:space="preserve"> </w:t>
      </w:r>
      <w:r w:rsidR="009F5C67" w:rsidRPr="00113C90">
        <w:rPr>
          <w:rFonts w:ascii="Arial" w:hAnsi="Arial" w:cs="Arial"/>
          <w:sz w:val="24"/>
          <w:szCs w:val="24"/>
        </w:rPr>
        <w:t xml:space="preserve">However, the </w:t>
      </w:r>
      <w:r w:rsidR="00871ECA">
        <w:rPr>
          <w:rFonts w:ascii="Arial" w:hAnsi="Arial" w:cs="Arial"/>
          <w:i/>
          <w:sz w:val="24"/>
          <w:szCs w:val="24"/>
        </w:rPr>
        <w:t>Explanations</w:t>
      </w:r>
      <w:r w:rsidRPr="00113C90">
        <w:rPr>
          <w:rFonts w:ascii="Arial" w:hAnsi="Arial" w:cs="Arial"/>
          <w:sz w:val="24"/>
          <w:szCs w:val="24"/>
        </w:rPr>
        <w:t xml:space="preserve"> state that the Union must respect Article 34(3) “in the context of policies based on Article 153 of the Treaty on the Functioning of the European Union.” Article 153 (ex Article 137 TEC) provides that the Union shall support and complement the activities of the Member States in the fields including the combating of social exclusion. </w:t>
      </w:r>
      <w:r w:rsidR="009F5C67" w:rsidRPr="00113C90">
        <w:rPr>
          <w:rFonts w:ascii="Arial" w:hAnsi="Arial" w:cs="Arial"/>
          <w:sz w:val="24"/>
          <w:szCs w:val="24"/>
        </w:rPr>
        <w:t>Thus</w:t>
      </w:r>
      <w:r w:rsidR="00C30198" w:rsidRPr="00113C90">
        <w:rPr>
          <w:rFonts w:ascii="Arial" w:hAnsi="Arial" w:cs="Arial"/>
          <w:sz w:val="24"/>
          <w:szCs w:val="24"/>
        </w:rPr>
        <w:t>,</w:t>
      </w:r>
      <w:r w:rsidR="009F5C67" w:rsidRPr="00113C90">
        <w:rPr>
          <w:rFonts w:ascii="Arial" w:hAnsi="Arial" w:cs="Arial"/>
          <w:sz w:val="24"/>
          <w:szCs w:val="24"/>
        </w:rPr>
        <w:t xml:space="preserve"> in </w:t>
      </w:r>
      <w:r w:rsidR="009F5C67" w:rsidRPr="00113C90">
        <w:rPr>
          <w:rFonts w:ascii="Arial" w:hAnsi="Arial" w:cs="Arial"/>
          <w:i/>
          <w:sz w:val="24"/>
          <w:szCs w:val="24"/>
        </w:rPr>
        <w:t>Morcillo</w:t>
      </w:r>
      <w:r w:rsidR="00C30198" w:rsidRPr="00113C90">
        <w:rPr>
          <w:rFonts w:ascii="Arial" w:hAnsi="Arial" w:cs="Arial"/>
          <w:sz w:val="24"/>
          <w:szCs w:val="24"/>
        </w:rPr>
        <w:t xml:space="preserve"> (no. 2) Article 34(3</w:t>
      </w:r>
      <w:r w:rsidR="00FB7CB9">
        <w:rPr>
          <w:rFonts w:ascii="Arial" w:hAnsi="Arial" w:cs="Arial"/>
          <w:sz w:val="24"/>
          <w:szCs w:val="24"/>
        </w:rPr>
        <w:t>)</w:t>
      </w:r>
      <w:r w:rsidR="00C30198" w:rsidRPr="00113C90">
        <w:rPr>
          <w:rFonts w:ascii="Arial" w:hAnsi="Arial" w:cs="Arial"/>
          <w:sz w:val="24"/>
          <w:szCs w:val="24"/>
        </w:rPr>
        <w:t xml:space="preserve"> was held not to </w:t>
      </w:r>
      <w:r w:rsidR="00FB7CB9">
        <w:rPr>
          <w:rFonts w:ascii="Arial" w:hAnsi="Arial" w:cs="Arial"/>
          <w:sz w:val="24"/>
          <w:szCs w:val="24"/>
        </w:rPr>
        <w:t xml:space="preserve">provide individually enforceable rights </w:t>
      </w:r>
      <w:r w:rsidR="006B2DC0">
        <w:rPr>
          <w:rFonts w:ascii="Arial" w:hAnsi="Arial" w:cs="Arial"/>
          <w:sz w:val="24"/>
          <w:szCs w:val="24"/>
        </w:rPr>
        <w:t xml:space="preserve">to housing </w:t>
      </w:r>
      <w:r w:rsidR="00FB7CB9">
        <w:rPr>
          <w:rFonts w:ascii="Arial" w:hAnsi="Arial" w:cs="Arial"/>
          <w:sz w:val="24"/>
          <w:szCs w:val="24"/>
        </w:rPr>
        <w:t>in the context of eviction-</w:t>
      </w:r>
      <w:r w:rsidR="00C30198" w:rsidRPr="00113C90">
        <w:rPr>
          <w:rFonts w:ascii="Arial" w:hAnsi="Arial" w:cs="Arial"/>
          <w:sz w:val="24"/>
          <w:szCs w:val="24"/>
        </w:rPr>
        <w:t>related proceedings.</w:t>
      </w:r>
      <w:r w:rsidR="00C30198" w:rsidRPr="00113C90">
        <w:rPr>
          <w:rStyle w:val="FootnoteReference"/>
          <w:rFonts w:ascii="Arial" w:hAnsi="Arial" w:cs="Arial"/>
          <w:sz w:val="24"/>
          <w:szCs w:val="24"/>
        </w:rPr>
        <w:footnoteReference w:id="70"/>
      </w:r>
    </w:p>
    <w:p w14:paraId="74977B27" w14:textId="77777777" w:rsidR="00EE0073" w:rsidRPr="00113C90" w:rsidRDefault="00EE0073" w:rsidP="00113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4"/>
          <w:szCs w:val="24"/>
        </w:rPr>
      </w:pPr>
    </w:p>
    <w:p w14:paraId="7C500A03" w14:textId="6DB3F25D" w:rsidR="00C30198" w:rsidRDefault="00EE0073" w:rsidP="00113C90">
      <w:pPr>
        <w:spacing w:after="0" w:line="240" w:lineRule="auto"/>
        <w:rPr>
          <w:rFonts w:ascii="Arial" w:hAnsi="Arial" w:cs="Arial"/>
          <w:sz w:val="24"/>
          <w:szCs w:val="24"/>
        </w:rPr>
      </w:pPr>
      <w:r w:rsidRPr="00113C90">
        <w:rPr>
          <w:rFonts w:ascii="Arial" w:hAnsi="Arial" w:cs="Arial"/>
          <w:sz w:val="24"/>
          <w:szCs w:val="24"/>
        </w:rPr>
        <w:t xml:space="preserve">However, the CJEU has pointed out that, when determining social security, social assistance and social protection measures defined by national law and subject to equal treatment under EU law, Member States must “comply with the rights and </w:t>
      </w:r>
      <w:r w:rsidRPr="00113C90">
        <w:rPr>
          <w:rFonts w:ascii="Arial" w:hAnsi="Arial" w:cs="Arial"/>
          <w:sz w:val="24"/>
          <w:szCs w:val="24"/>
        </w:rPr>
        <w:lastRenderedPageBreak/>
        <w:t xml:space="preserve">principles provided for under the </w:t>
      </w:r>
      <w:r w:rsidR="00160C04">
        <w:rPr>
          <w:rFonts w:ascii="Arial" w:hAnsi="Arial" w:cs="Arial"/>
          <w:sz w:val="24"/>
          <w:szCs w:val="24"/>
        </w:rPr>
        <w:t>Charter</w:t>
      </w:r>
      <w:r w:rsidRPr="00113C90">
        <w:rPr>
          <w:rFonts w:ascii="Arial" w:hAnsi="Arial" w:cs="Arial"/>
          <w:sz w:val="24"/>
          <w:szCs w:val="24"/>
        </w:rPr>
        <w:t xml:space="preserve"> including those laid down under Article 34 thereof.”</w:t>
      </w:r>
      <w:r w:rsidRPr="00113C90">
        <w:rPr>
          <w:rStyle w:val="FootnoteReference"/>
          <w:rFonts w:ascii="Arial" w:hAnsi="Arial" w:cs="Arial"/>
          <w:sz w:val="24"/>
          <w:szCs w:val="24"/>
        </w:rPr>
        <w:footnoteReference w:id="71"/>
      </w:r>
      <w:r w:rsidRPr="00113C90">
        <w:rPr>
          <w:rFonts w:ascii="Arial" w:hAnsi="Arial" w:cs="Arial"/>
          <w:sz w:val="24"/>
          <w:szCs w:val="24"/>
        </w:rPr>
        <w:t xml:space="preserve"> </w:t>
      </w:r>
    </w:p>
    <w:p w14:paraId="000FAA6F" w14:textId="77777777" w:rsidR="006A07F2" w:rsidRPr="00113C90" w:rsidRDefault="006A07F2" w:rsidP="00113C90">
      <w:pPr>
        <w:spacing w:after="0" w:line="240" w:lineRule="auto"/>
        <w:rPr>
          <w:rFonts w:ascii="Arial" w:hAnsi="Arial" w:cs="Arial"/>
          <w:sz w:val="24"/>
          <w:szCs w:val="24"/>
        </w:rPr>
      </w:pPr>
    </w:p>
    <w:p w14:paraId="373BFD7A" w14:textId="390135C5" w:rsidR="00C30198" w:rsidRPr="00113C90" w:rsidRDefault="00326322" w:rsidP="00113C90">
      <w:pPr>
        <w:widowControl w:val="0"/>
        <w:autoSpaceDE w:val="0"/>
        <w:autoSpaceDN w:val="0"/>
        <w:adjustRightInd w:val="0"/>
        <w:spacing w:after="0" w:line="240" w:lineRule="auto"/>
        <w:rPr>
          <w:rFonts w:ascii="Arial" w:hAnsi="Arial" w:cs="Arial"/>
          <w:sz w:val="24"/>
          <w:szCs w:val="24"/>
        </w:rPr>
      </w:pPr>
      <w:r w:rsidRPr="00113C90">
        <w:rPr>
          <w:rFonts w:ascii="Arial" w:hAnsi="Arial" w:cs="Arial"/>
          <w:sz w:val="24"/>
          <w:szCs w:val="24"/>
        </w:rPr>
        <w:t xml:space="preserve">Article 47 </w:t>
      </w:r>
      <w:r w:rsidR="006A07F2">
        <w:rPr>
          <w:rFonts w:ascii="Arial" w:hAnsi="Arial" w:cs="Arial"/>
          <w:sz w:val="24"/>
          <w:szCs w:val="24"/>
        </w:rPr>
        <w:t>of the Charter</w:t>
      </w:r>
      <w:r w:rsidRPr="00113C90">
        <w:rPr>
          <w:rFonts w:ascii="Arial" w:hAnsi="Arial" w:cs="Arial"/>
          <w:sz w:val="24"/>
          <w:szCs w:val="24"/>
        </w:rPr>
        <w:t xml:space="preserve"> </w:t>
      </w:r>
      <w:r w:rsidR="002B3CCE" w:rsidRPr="00113C90">
        <w:rPr>
          <w:rFonts w:ascii="Arial" w:hAnsi="Arial" w:cs="Arial"/>
          <w:sz w:val="24"/>
          <w:szCs w:val="24"/>
        </w:rPr>
        <w:t xml:space="preserve">on the right to an effective remedy and to a fair trial states: </w:t>
      </w:r>
    </w:p>
    <w:p w14:paraId="1377F8BB" w14:textId="77777777" w:rsidR="00C30198" w:rsidRPr="00113C90" w:rsidRDefault="00C30198" w:rsidP="00113C90">
      <w:pPr>
        <w:widowControl w:val="0"/>
        <w:autoSpaceDE w:val="0"/>
        <w:autoSpaceDN w:val="0"/>
        <w:adjustRightInd w:val="0"/>
        <w:spacing w:after="0" w:line="240" w:lineRule="auto"/>
        <w:rPr>
          <w:rFonts w:ascii="Arial" w:hAnsi="Arial" w:cs="Arial"/>
          <w:sz w:val="24"/>
          <w:szCs w:val="24"/>
        </w:rPr>
      </w:pPr>
    </w:p>
    <w:p w14:paraId="7C8DD561" w14:textId="77777777" w:rsidR="00C30198" w:rsidRPr="006A07F2" w:rsidRDefault="002B3CCE" w:rsidP="006A07F2">
      <w:pPr>
        <w:widowControl w:val="0"/>
        <w:autoSpaceDE w:val="0"/>
        <w:autoSpaceDN w:val="0"/>
        <w:adjustRightInd w:val="0"/>
        <w:spacing w:after="0" w:line="240" w:lineRule="auto"/>
        <w:ind w:left="720"/>
        <w:rPr>
          <w:rFonts w:ascii="Arial" w:hAnsi="Arial" w:cs="Arial"/>
        </w:rPr>
      </w:pPr>
      <w:r w:rsidRPr="006A07F2">
        <w:rPr>
          <w:rFonts w:ascii="Arial" w:hAnsi="Arial" w:cs="Arial"/>
        </w:rPr>
        <w:t xml:space="preserve">Everyone whose rights and freedoms guaranteed by the law of the Union are violated has the right to an effective remedy before a tribunal in compliance with the conditions laid down in this Article. </w:t>
      </w:r>
    </w:p>
    <w:p w14:paraId="65D83ED6" w14:textId="77777777" w:rsidR="008F514B" w:rsidRPr="006A07F2" w:rsidRDefault="002B3CCE" w:rsidP="006A07F2">
      <w:pPr>
        <w:widowControl w:val="0"/>
        <w:autoSpaceDE w:val="0"/>
        <w:autoSpaceDN w:val="0"/>
        <w:adjustRightInd w:val="0"/>
        <w:spacing w:after="0" w:line="240" w:lineRule="auto"/>
        <w:ind w:left="720"/>
        <w:rPr>
          <w:rFonts w:ascii="Arial" w:hAnsi="Arial" w:cs="Arial"/>
        </w:rPr>
      </w:pPr>
      <w:r w:rsidRPr="006A07F2">
        <w:rPr>
          <w:rFonts w:ascii="Arial" w:hAnsi="Arial" w:cs="Arial"/>
        </w:rPr>
        <w:t xml:space="preserve">Everyone is entitled to a fair and public hearing within a reasonable time by an independent and impartial tribunal previously established by law. </w:t>
      </w:r>
    </w:p>
    <w:p w14:paraId="73B36998" w14:textId="33EF7242" w:rsidR="00C30198" w:rsidRPr="006A07F2" w:rsidRDefault="002B3CCE" w:rsidP="006A07F2">
      <w:pPr>
        <w:widowControl w:val="0"/>
        <w:autoSpaceDE w:val="0"/>
        <w:autoSpaceDN w:val="0"/>
        <w:adjustRightInd w:val="0"/>
        <w:spacing w:after="0" w:line="240" w:lineRule="auto"/>
        <w:ind w:left="720"/>
        <w:rPr>
          <w:rFonts w:ascii="Arial" w:hAnsi="Arial" w:cs="Arial"/>
        </w:rPr>
      </w:pPr>
      <w:r w:rsidRPr="006A07F2">
        <w:rPr>
          <w:rFonts w:ascii="Arial" w:hAnsi="Arial" w:cs="Arial"/>
        </w:rPr>
        <w:t xml:space="preserve">Everyone shall have the possibility of being advised, defended and represented. </w:t>
      </w:r>
    </w:p>
    <w:p w14:paraId="26CEFC64" w14:textId="44E6D545" w:rsidR="00C30198" w:rsidRPr="006A07F2" w:rsidRDefault="002B3CCE" w:rsidP="006A07F2">
      <w:pPr>
        <w:widowControl w:val="0"/>
        <w:autoSpaceDE w:val="0"/>
        <w:autoSpaceDN w:val="0"/>
        <w:adjustRightInd w:val="0"/>
        <w:spacing w:after="0" w:line="240" w:lineRule="auto"/>
        <w:ind w:left="720"/>
        <w:rPr>
          <w:rFonts w:ascii="Arial" w:hAnsi="Arial" w:cs="Arial"/>
        </w:rPr>
      </w:pPr>
      <w:r w:rsidRPr="006A07F2">
        <w:rPr>
          <w:rFonts w:ascii="Arial" w:hAnsi="Arial" w:cs="Arial"/>
        </w:rPr>
        <w:t xml:space="preserve">Legal aid shall be made available to those who lack sufficient resources in so far as such aid is necessary to ensure effective access to justice. </w:t>
      </w:r>
    </w:p>
    <w:p w14:paraId="623640C8" w14:textId="77777777" w:rsidR="00C30198" w:rsidRPr="00113C90" w:rsidRDefault="00C30198" w:rsidP="00113C90">
      <w:pPr>
        <w:widowControl w:val="0"/>
        <w:autoSpaceDE w:val="0"/>
        <w:autoSpaceDN w:val="0"/>
        <w:adjustRightInd w:val="0"/>
        <w:spacing w:after="0" w:line="240" w:lineRule="auto"/>
        <w:rPr>
          <w:rFonts w:ascii="Arial" w:hAnsi="Arial" w:cs="Arial"/>
          <w:sz w:val="24"/>
          <w:szCs w:val="24"/>
        </w:rPr>
      </w:pPr>
    </w:p>
    <w:p w14:paraId="29A25BB6" w14:textId="77777777" w:rsidR="006B2DC0" w:rsidRDefault="002B3CCE" w:rsidP="00113C90">
      <w:pPr>
        <w:widowControl w:val="0"/>
        <w:autoSpaceDE w:val="0"/>
        <w:autoSpaceDN w:val="0"/>
        <w:adjustRightInd w:val="0"/>
        <w:spacing w:after="0" w:line="240" w:lineRule="auto"/>
        <w:rPr>
          <w:rFonts w:ascii="Arial" w:hAnsi="Arial" w:cs="Arial"/>
          <w:sz w:val="24"/>
          <w:szCs w:val="24"/>
        </w:rPr>
      </w:pPr>
      <w:r w:rsidRPr="00113C90">
        <w:rPr>
          <w:rFonts w:ascii="Arial" w:hAnsi="Arial" w:cs="Arial"/>
          <w:sz w:val="24"/>
          <w:szCs w:val="24"/>
        </w:rPr>
        <w:t xml:space="preserve">The </w:t>
      </w:r>
      <w:r w:rsidR="00871ECA">
        <w:rPr>
          <w:rFonts w:ascii="Arial" w:hAnsi="Arial" w:cs="Arial"/>
          <w:i/>
          <w:sz w:val="24"/>
          <w:szCs w:val="24"/>
        </w:rPr>
        <w:t>Explanations</w:t>
      </w:r>
      <w:r w:rsidRPr="00113C90">
        <w:rPr>
          <w:rFonts w:ascii="Arial" w:hAnsi="Arial" w:cs="Arial"/>
          <w:sz w:val="24"/>
          <w:szCs w:val="24"/>
        </w:rPr>
        <w:t xml:space="preserve"> state the second paragraph</w:t>
      </w:r>
      <w:r w:rsidR="008F514B" w:rsidRPr="00113C90">
        <w:rPr>
          <w:rFonts w:ascii="Arial" w:hAnsi="Arial" w:cs="Arial"/>
          <w:sz w:val="24"/>
          <w:szCs w:val="24"/>
        </w:rPr>
        <w:t xml:space="preserve"> of Article 47 </w:t>
      </w:r>
      <w:r w:rsidRPr="00113C90">
        <w:rPr>
          <w:rFonts w:ascii="Arial" w:hAnsi="Arial" w:cs="Arial"/>
          <w:sz w:val="24"/>
          <w:szCs w:val="24"/>
        </w:rPr>
        <w:t xml:space="preserve">corresponds </w:t>
      </w:r>
      <w:r w:rsidR="008F514B" w:rsidRPr="00113C90">
        <w:rPr>
          <w:rFonts w:ascii="Arial" w:hAnsi="Arial" w:cs="Arial"/>
          <w:sz w:val="24"/>
          <w:szCs w:val="24"/>
        </w:rPr>
        <w:t xml:space="preserve">with </w:t>
      </w:r>
      <w:r w:rsidRPr="00113C90">
        <w:rPr>
          <w:rFonts w:ascii="Arial" w:hAnsi="Arial" w:cs="Arial"/>
          <w:sz w:val="24"/>
          <w:szCs w:val="24"/>
        </w:rPr>
        <w:t>Article 6(1) ECHR</w:t>
      </w:r>
      <w:r w:rsidR="008F514B" w:rsidRPr="00113C90">
        <w:rPr>
          <w:rFonts w:ascii="Arial" w:hAnsi="Arial" w:cs="Arial"/>
          <w:sz w:val="24"/>
          <w:szCs w:val="24"/>
        </w:rPr>
        <w:t>,</w:t>
      </w:r>
      <w:r w:rsidRPr="00113C90">
        <w:rPr>
          <w:rFonts w:ascii="Arial" w:hAnsi="Arial" w:cs="Arial"/>
          <w:sz w:val="24"/>
          <w:szCs w:val="24"/>
        </w:rPr>
        <w:t xml:space="preserve"> and therefore the </w:t>
      </w:r>
      <w:r w:rsidR="008F514B" w:rsidRPr="00113C90">
        <w:rPr>
          <w:rFonts w:ascii="Arial" w:hAnsi="Arial" w:cs="Arial"/>
          <w:sz w:val="24"/>
          <w:szCs w:val="24"/>
        </w:rPr>
        <w:t xml:space="preserve">relevant ECtHR </w:t>
      </w:r>
      <w:r w:rsidRPr="00113C90">
        <w:rPr>
          <w:rFonts w:ascii="Arial" w:hAnsi="Arial" w:cs="Arial"/>
          <w:sz w:val="24"/>
          <w:szCs w:val="24"/>
        </w:rPr>
        <w:t xml:space="preserve">jurisprudence </w:t>
      </w:r>
      <w:r w:rsidR="008F514B" w:rsidRPr="00113C90">
        <w:rPr>
          <w:rFonts w:ascii="Arial" w:hAnsi="Arial" w:cs="Arial"/>
          <w:sz w:val="24"/>
          <w:szCs w:val="24"/>
        </w:rPr>
        <w:t xml:space="preserve">applies to </w:t>
      </w:r>
      <w:r w:rsidRPr="00113C90">
        <w:rPr>
          <w:rFonts w:ascii="Arial" w:hAnsi="Arial" w:cs="Arial"/>
          <w:sz w:val="24"/>
          <w:szCs w:val="24"/>
        </w:rPr>
        <w:t>the interpretation of obligations in EU law where th</w:t>
      </w:r>
      <w:r w:rsidR="006A07F2">
        <w:rPr>
          <w:rFonts w:ascii="Arial" w:hAnsi="Arial" w:cs="Arial"/>
          <w:sz w:val="24"/>
          <w:szCs w:val="24"/>
        </w:rPr>
        <w:t xml:space="preserve">e Charter </w:t>
      </w:r>
      <w:r w:rsidRPr="00113C90">
        <w:rPr>
          <w:rFonts w:ascii="Arial" w:hAnsi="Arial" w:cs="Arial"/>
          <w:sz w:val="24"/>
          <w:szCs w:val="24"/>
        </w:rPr>
        <w:t xml:space="preserve">is engaged. The </w:t>
      </w:r>
      <w:r w:rsidR="00871ECA">
        <w:rPr>
          <w:rFonts w:ascii="Arial" w:hAnsi="Arial" w:cs="Arial"/>
          <w:i/>
          <w:sz w:val="24"/>
          <w:szCs w:val="24"/>
        </w:rPr>
        <w:t>Explanations</w:t>
      </w:r>
      <w:r w:rsidRPr="00113C90">
        <w:rPr>
          <w:rFonts w:ascii="Arial" w:hAnsi="Arial" w:cs="Arial"/>
          <w:sz w:val="24"/>
          <w:szCs w:val="24"/>
        </w:rPr>
        <w:t xml:space="preserve"> also provide that</w:t>
      </w:r>
      <w:r w:rsidR="006B2DC0">
        <w:rPr>
          <w:rFonts w:ascii="Arial" w:hAnsi="Arial" w:cs="Arial"/>
          <w:sz w:val="24"/>
          <w:szCs w:val="24"/>
        </w:rPr>
        <w:t>:</w:t>
      </w:r>
    </w:p>
    <w:p w14:paraId="0B2882F1" w14:textId="77777777" w:rsidR="006B2DC0" w:rsidRDefault="006B2DC0" w:rsidP="00113C90">
      <w:pPr>
        <w:widowControl w:val="0"/>
        <w:autoSpaceDE w:val="0"/>
        <w:autoSpaceDN w:val="0"/>
        <w:adjustRightInd w:val="0"/>
        <w:spacing w:after="0" w:line="240" w:lineRule="auto"/>
        <w:rPr>
          <w:rFonts w:ascii="Arial" w:hAnsi="Arial" w:cs="Arial"/>
          <w:sz w:val="24"/>
          <w:szCs w:val="24"/>
        </w:rPr>
      </w:pPr>
    </w:p>
    <w:p w14:paraId="5A9F3A4E" w14:textId="07DA076D" w:rsidR="006B2DC0" w:rsidRPr="006B2DC0" w:rsidRDefault="00272404" w:rsidP="006B2DC0">
      <w:pPr>
        <w:widowControl w:val="0"/>
        <w:autoSpaceDE w:val="0"/>
        <w:autoSpaceDN w:val="0"/>
        <w:adjustRightInd w:val="0"/>
        <w:spacing w:after="0" w:line="240" w:lineRule="auto"/>
        <w:ind w:left="720"/>
        <w:rPr>
          <w:rFonts w:ascii="Arial" w:hAnsi="Arial" w:cs="Arial"/>
          <w:lang w:val="en-US"/>
        </w:rPr>
      </w:pPr>
      <w:r w:rsidRPr="006B2DC0">
        <w:rPr>
          <w:rFonts w:ascii="Arial" w:hAnsi="Arial" w:cs="Arial"/>
          <w:lang w:val="en-US"/>
        </w:rPr>
        <w:t>With regard to the third paragraph, it should be noted that in accordance with the case-law of the European Court of</w:t>
      </w:r>
      <w:r w:rsidR="00C30198" w:rsidRPr="006B2DC0">
        <w:rPr>
          <w:rFonts w:ascii="Arial" w:hAnsi="Arial" w:cs="Arial"/>
          <w:lang w:val="en-US"/>
        </w:rPr>
        <w:t xml:space="preserve"> </w:t>
      </w:r>
      <w:r w:rsidRPr="006B2DC0">
        <w:rPr>
          <w:rFonts w:ascii="Arial" w:hAnsi="Arial" w:cs="Arial"/>
          <w:lang w:val="en-US"/>
        </w:rPr>
        <w:t>Human Rights, provision should be made for legal aid where the absence of such aid would make it impossible to ensure an effective remedy (ECHR judgment of 9 October 1979, Aire</w:t>
      </w:r>
      <w:r w:rsidR="006B2DC0" w:rsidRPr="006B2DC0">
        <w:rPr>
          <w:rFonts w:ascii="Arial" w:hAnsi="Arial" w:cs="Arial"/>
          <w:lang w:val="en-US"/>
        </w:rPr>
        <w:t>y, Series A, Volume 32, p. 11).</w:t>
      </w:r>
    </w:p>
    <w:p w14:paraId="13A64CA2" w14:textId="77777777" w:rsidR="006B2DC0" w:rsidRDefault="006B2DC0" w:rsidP="00113C90">
      <w:pPr>
        <w:widowControl w:val="0"/>
        <w:autoSpaceDE w:val="0"/>
        <w:autoSpaceDN w:val="0"/>
        <w:adjustRightInd w:val="0"/>
        <w:spacing w:after="0" w:line="240" w:lineRule="auto"/>
        <w:rPr>
          <w:rFonts w:ascii="Arial" w:hAnsi="Arial" w:cs="Arial"/>
          <w:sz w:val="24"/>
          <w:szCs w:val="24"/>
          <w:lang w:val="en-US"/>
        </w:rPr>
      </w:pPr>
    </w:p>
    <w:p w14:paraId="6F50434A" w14:textId="6DD69E31" w:rsidR="002B3CCE" w:rsidRPr="00113C90" w:rsidRDefault="008F514B" w:rsidP="00113C90">
      <w:pPr>
        <w:widowControl w:val="0"/>
        <w:autoSpaceDE w:val="0"/>
        <w:autoSpaceDN w:val="0"/>
        <w:adjustRightInd w:val="0"/>
        <w:spacing w:after="0" w:line="240" w:lineRule="auto"/>
        <w:rPr>
          <w:rFonts w:ascii="Arial" w:hAnsi="Arial" w:cs="Arial"/>
          <w:sz w:val="24"/>
          <w:szCs w:val="24"/>
        </w:rPr>
      </w:pPr>
      <w:r w:rsidRPr="00113C90">
        <w:rPr>
          <w:rFonts w:ascii="Arial" w:hAnsi="Arial" w:cs="Arial"/>
          <w:sz w:val="24"/>
          <w:szCs w:val="24"/>
          <w:lang w:val="en-US"/>
        </w:rPr>
        <w:t xml:space="preserve">Clearly, this creates a more binding set of human rights protections arising from the incorporation of ECHR norms into EU law. </w:t>
      </w:r>
    </w:p>
    <w:p w14:paraId="6D81A69C" w14:textId="77777777" w:rsidR="007B44DE" w:rsidRPr="00113C90" w:rsidRDefault="007B44DE" w:rsidP="00113C90">
      <w:pPr>
        <w:widowControl w:val="0"/>
        <w:autoSpaceDE w:val="0"/>
        <w:autoSpaceDN w:val="0"/>
        <w:adjustRightInd w:val="0"/>
        <w:spacing w:after="0" w:line="240" w:lineRule="auto"/>
        <w:rPr>
          <w:rFonts w:ascii="Arial" w:hAnsi="Arial" w:cs="Arial"/>
          <w:sz w:val="24"/>
          <w:szCs w:val="24"/>
        </w:rPr>
      </w:pPr>
    </w:p>
    <w:p w14:paraId="6B49801B" w14:textId="321ECC23" w:rsidR="0005507F" w:rsidRDefault="0005507F" w:rsidP="00124C7D">
      <w:pPr>
        <w:spacing w:after="0" w:line="240" w:lineRule="auto"/>
        <w:rPr>
          <w:rFonts w:ascii="Arial" w:hAnsi="Arial" w:cs="Arial"/>
          <w:sz w:val="24"/>
          <w:szCs w:val="24"/>
        </w:rPr>
      </w:pPr>
      <w:r w:rsidRPr="00113C90">
        <w:rPr>
          <w:rFonts w:ascii="Arial" w:hAnsi="Arial" w:cs="Arial"/>
          <w:sz w:val="24"/>
          <w:szCs w:val="24"/>
        </w:rPr>
        <w:t>Commentators suggest that provided there is an EU competence involved in the dis</w:t>
      </w:r>
      <w:r w:rsidR="00124C7D">
        <w:rPr>
          <w:rFonts w:ascii="Arial" w:hAnsi="Arial" w:cs="Arial"/>
          <w:sz w:val="24"/>
          <w:szCs w:val="24"/>
        </w:rPr>
        <w:t>p</w:t>
      </w:r>
      <w:r w:rsidRPr="00113C90">
        <w:rPr>
          <w:rFonts w:ascii="Arial" w:hAnsi="Arial" w:cs="Arial"/>
          <w:sz w:val="24"/>
          <w:szCs w:val="24"/>
        </w:rPr>
        <w:t>uted legal issue (whether exclusive or shared), EU fundamental rights should protect the citizen of the EU, even if such competence has not yet been exercised.</w:t>
      </w:r>
      <w:r w:rsidRPr="00113C90">
        <w:rPr>
          <w:rStyle w:val="FootnoteReference"/>
          <w:rFonts w:ascii="Arial" w:hAnsi="Arial" w:cs="Arial"/>
          <w:sz w:val="24"/>
          <w:szCs w:val="24"/>
        </w:rPr>
        <w:footnoteReference w:id="72"/>
      </w:r>
      <w:r w:rsidR="00124C7D">
        <w:rPr>
          <w:rFonts w:ascii="Arial" w:hAnsi="Arial" w:cs="Arial"/>
          <w:sz w:val="24"/>
          <w:szCs w:val="24"/>
        </w:rPr>
        <w:t xml:space="preserve"> </w:t>
      </w:r>
    </w:p>
    <w:p w14:paraId="480A729B" w14:textId="77777777" w:rsidR="00124C7D" w:rsidRDefault="00124C7D" w:rsidP="00124C7D">
      <w:pPr>
        <w:spacing w:after="0" w:line="240" w:lineRule="auto"/>
        <w:rPr>
          <w:rFonts w:ascii="Arial" w:hAnsi="Arial" w:cs="Arial"/>
          <w:sz w:val="24"/>
          <w:szCs w:val="24"/>
        </w:rPr>
      </w:pPr>
    </w:p>
    <w:p w14:paraId="53DB91EE" w14:textId="77777777" w:rsidR="00124C7D" w:rsidRDefault="00124C7D" w:rsidP="00124C7D">
      <w:pPr>
        <w:spacing w:after="0" w:line="240" w:lineRule="auto"/>
        <w:rPr>
          <w:rFonts w:ascii="Arial" w:hAnsi="Arial" w:cs="Arial"/>
          <w:sz w:val="24"/>
          <w:szCs w:val="24"/>
        </w:rPr>
      </w:pPr>
    </w:p>
    <w:p w14:paraId="297A2756" w14:textId="77777777" w:rsidR="00124C7D" w:rsidRDefault="00124C7D" w:rsidP="00124C7D">
      <w:pPr>
        <w:spacing w:after="0" w:line="240" w:lineRule="auto"/>
        <w:rPr>
          <w:rFonts w:ascii="Arial" w:hAnsi="Arial" w:cs="Arial"/>
          <w:sz w:val="24"/>
          <w:szCs w:val="24"/>
        </w:rPr>
      </w:pPr>
    </w:p>
    <w:p w14:paraId="4E43D9D8" w14:textId="77777777" w:rsidR="00124C7D" w:rsidRDefault="00124C7D" w:rsidP="00124C7D">
      <w:pPr>
        <w:spacing w:after="0" w:line="240" w:lineRule="auto"/>
        <w:rPr>
          <w:rFonts w:ascii="Arial" w:hAnsi="Arial" w:cs="Arial"/>
          <w:sz w:val="24"/>
          <w:szCs w:val="24"/>
        </w:rPr>
      </w:pPr>
    </w:p>
    <w:p w14:paraId="1C0917E0" w14:textId="77777777" w:rsidR="00124C7D" w:rsidRPr="00113C90" w:rsidRDefault="00124C7D" w:rsidP="00124C7D">
      <w:pPr>
        <w:spacing w:after="0" w:line="240" w:lineRule="auto"/>
        <w:rPr>
          <w:rFonts w:ascii="Arial" w:hAnsi="Arial" w:cs="Arial"/>
        </w:rPr>
      </w:pPr>
    </w:p>
    <w:p w14:paraId="6865BBE8" w14:textId="77777777" w:rsidR="004D4353" w:rsidRDefault="004D4353">
      <w:pPr>
        <w:rPr>
          <w:rFonts w:ascii="Arial" w:hAnsi="Arial" w:cs="Arial"/>
          <w:b/>
          <w:sz w:val="24"/>
          <w:szCs w:val="24"/>
        </w:rPr>
      </w:pPr>
      <w:r>
        <w:rPr>
          <w:rFonts w:ascii="Arial" w:hAnsi="Arial" w:cs="Arial"/>
          <w:b/>
        </w:rPr>
        <w:br w:type="page"/>
      </w:r>
    </w:p>
    <w:p w14:paraId="5873ECAD" w14:textId="6C3A65AA" w:rsidR="0011793B" w:rsidRPr="00113C90" w:rsidRDefault="007B44DE" w:rsidP="00113C90">
      <w:pPr>
        <w:pStyle w:val="NormalWeb"/>
        <w:shd w:val="clear" w:color="auto" w:fill="FFFFFF"/>
        <w:spacing w:before="0" w:beforeAutospacing="0" w:after="0" w:afterAutospacing="0"/>
        <w:rPr>
          <w:rFonts w:ascii="Arial" w:eastAsiaTheme="minorHAnsi" w:hAnsi="Arial" w:cs="Arial"/>
          <w:b/>
          <w:lang w:eastAsia="en-US"/>
        </w:rPr>
      </w:pPr>
      <w:r w:rsidRPr="00113C90">
        <w:rPr>
          <w:rFonts w:ascii="Arial" w:eastAsiaTheme="minorHAnsi" w:hAnsi="Arial" w:cs="Arial"/>
          <w:b/>
          <w:lang w:eastAsia="en-US"/>
        </w:rPr>
        <w:t xml:space="preserve">Summary of </w:t>
      </w:r>
      <w:r w:rsidR="00160C04">
        <w:rPr>
          <w:rFonts w:ascii="Arial" w:eastAsiaTheme="minorHAnsi" w:hAnsi="Arial" w:cs="Arial"/>
          <w:b/>
          <w:lang w:eastAsia="en-US"/>
        </w:rPr>
        <w:t>C</w:t>
      </w:r>
      <w:r w:rsidR="00C06388">
        <w:rPr>
          <w:rFonts w:ascii="Arial" w:eastAsiaTheme="minorHAnsi" w:hAnsi="Arial" w:cs="Arial"/>
          <w:b/>
          <w:lang w:eastAsia="en-US"/>
        </w:rPr>
        <w:t>harter l</w:t>
      </w:r>
      <w:r w:rsidRPr="00113C90">
        <w:rPr>
          <w:rFonts w:ascii="Arial" w:eastAsiaTheme="minorHAnsi" w:hAnsi="Arial" w:cs="Arial"/>
          <w:b/>
          <w:lang w:eastAsia="en-US"/>
        </w:rPr>
        <w:t>inks with other human rights</w:t>
      </w:r>
      <w:r w:rsidR="00592440" w:rsidRPr="00113C90">
        <w:rPr>
          <w:rStyle w:val="FootnoteReference"/>
          <w:rFonts w:ascii="Arial" w:hAnsi="Arial" w:cs="Arial"/>
        </w:rPr>
        <w:footnoteReference w:id="73"/>
      </w:r>
    </w:p>
    <w:p w14:paraId="626C02E3" w14:textId="77777777" w:rsidR="0011793B" w:rsidRPr="00113C90" w:rsidRDefault="0011793B" w:rsidP="00113C90">
      <w:pPr>
        <w:pStyle w:val="NormalWeb"/>
        <w:shd w:val="clear" w:color="auto" w:fill="FFFFFF"/>
        <w:spacing w:before="0" w:beforeAutospacing="0" w:after="0" w:afterAutospacing="0"/>
        <w:rPr>
          <w:rFonts w:ascii="Arial" w:eastAsiaTheme="minorHAnsi" w:hAnsi="Arial" w:cs="Arial"/>
          <w:lang w:eastAsia="en-US"/>
        </w:rPr>
      </w:pPr>
    </w:p>
    <w:p w14:paraId="53307BE7" w14:textId="5E8F5EB3" w:rsidR="0011793B" w:rsidRPr="00113C90" w:rsidRDefault="0011793B" w:rsidP="00113C90">
      <w:pPr>
        <w:pStyle w:val="NormalWeb"/>
        <w:shd w:val="clear" w:color="auto" w:fill="FFFFFF"/>
        <w:spacing w:before="0" w:beforeAutospacing="0" w:after="0" w:afterAutospacing="0"/>
        <w:rPr>
          <w:rFonts w:ascii="Arial" w:eastAsiaTheme="minorHAnsi" w:hAnsi="Arial" w:cs="Arial"/>
          <w:b/>
          <w:lang w:eastAsia="en-US"/>
        </w:rPr>
      </w:pPr>
      <w:r w:rsidRPr="00113C90">
        <w:rPr>
          <w:rFonts w:ascii="Arial" w:eastAsiaTheme="minorHAnsi" w:hAnsi="Arial" w:cs="Arial"/>
          <w:b/>
          <w:lang w:eastAsia="en-US"/>
        </w:rPr>
        <w:t xml:space="preserve">Table 1. Links between </w:t>
      </w:r>
      <w:r w:rsidR="00160C04">
        <w:rPr>
          <w:rFonts w:ascii="Arial" w:eastAsiaTheme="minorHAnsi" w:hAnsi="Arial" w:cs="Arial"/>
          <w:b/>
          <w:lang w:eastAsia="en-US"/>
        </w:rPr>
        <w:t>C</w:t>
      </w:r>
      <w:r w:rsidR="00C06388">
        <w:rPr>
          <w:rFonts w:ascii="Arial" w:eastAsiaTheme="minorHAnsi" w:hAnsi="Arial" w:cs="Arial"/>
          <w:b/>
          <w:lang w:eastAsia="en-US"/>
        </w:rPr>
        <w:t>harter</w:t>
      </w:r>
      <w:r w:rsidRPr="00113C90">
        <w:rPr>
          <w:rFonts w:ascii="Arial" w:eastAsiaTheme="minorHAnsi" w:hAnsi="Arial" w:cs="Arial"/>
          <w:b/>
          <w:lang w:eastAsia="en-US"/>
        </w:rPr>
        <w:t xml:space="preserve"> Articles and Articles in other Human Rights Instruments.</w:t>
      </w:r>
    </w:p>
    <w:p w14:paraId="060E3632" w14:textId="77777777" w:rsidR="0011793B" w:rsidRPr="00113C90" w:rsidRDefault="0011793B" w:rsidP="00113C90">
      <w:pPr>
        <w:pStyle w:val="NormalWeb"/>
        <w:shd w:val="clear" w:color="auto" w:fill="FFFFFF"/>
        <w:spacing w:before="0" w:beforeAutospacing="0" w:after="0" w:afterAutospacing="0"/>
        <w:rPr>
          <w:rFonts w:ascii="Arial" w:eastAsiaTheme="minorHAnsi" w:hAnsi="Arial" w:cs="Arial"/>
          <w:lang w:eastAsia="en-US"/>
        </w:rPr>
      </w:pPr>
    </w:p>
    <w:tbl>
      <w:tblPr>
        <w:tblStyle w:val="TableGrid"/>
        <w:tblW w:w="0" w:type="auto"/>
        <w:tblLook w:val="04A0" w:firstRow="1" w:lastRow="0" w:firstColumn="1" w:lastColumn="0" w:noHBand="0" w:noVBand="1"/>
      </w:tblPr>
      <w:tblGrid>
        <w:gridCol w:w="1384"/>
        <w:gridCol w:w="7858"/>
      </w:tblGrid>
      <w:tr w:rsidR="0011793B" w:rsidRPr="00113C90" w14:paraId="0F6FB7EB" w14:textId="77777777" w:rsidTr="00E12E37">
        <w:tc>
          <w:tcPr>
            <w:tcW w:w="1384" w:type="dxa"/>
          </w:tcPr>
          <w:p w14:paraId="373218B2" w14:textId="3D16F9DF" w:rsidR="0011793B" w:rsidRPr="00C06388" w:rsidRDefault="00160C04" w:rsidP="00C06388">
            <w:pPr>
              <w:rPr>
                <w:b/>
                <w:i/>
              </w:rPr>
            </w:pPr>
            <w:r w:rsidRPr="00C06388">
              <w:rPr>
                <w:b/>
                <w:i/>
              </w:rPr>
              <w:t>C</w:t>
            </w:r>
            <w:r w:rsidR="00C06388" w:rsidRPr="00C06388">
              <w:rPr>
                <w:b/>
                <w:i/>
              </w:rPr>
              <w:t>harter</w:t>
            </w:r>
            <w:r w:rsidR="0011793B" w:rsidRPr="00C06388">
              <w:rPr>
                <w:b/>
                <w:i/>
              </w:rPr>
              <w:t xml:space="preserve"> </w:t>
            </w:r>
          </w:p>
        </w:tc>
        <w:tc>
          <w:tcPr>
            <w:tcW w:w="7858" w:type="dxa"/>
          </w:tcPr>
          <w:p w14:paraId="17EA37EA" w14:textId="77777777" w:rsidR="0011793B" w:rsidRPr="00C06388" w:rsidRDefault="0011793B" w:rsidP="00113C90">
            <w:pPr>
              <w:rPr>
                <w:b/>
                <w:i/>
              </w:rPr>
            </w:pPr>
            <w:r w:rsidRPr="00C06388">
              <w:rPr>
                <w:b/>
                <w:i/>
              </w:rPr>
              <w:t>Where meaning and scope same as ECHR/(R)ESC Article</w:t>
            </w:r>
            <w:r w:rsidRPr="00C06388">
              <w:rPr>
                <w:rStyle w:val="FootnoteReference"/>
                <w:b/>
                <w:i/>
              </w:rPr>
              <w:footnoteReference w:id="74"/>
            </w:r>
          </w:p>
        </w:tc>
      </w:tr>
      <w:tr w:rsidR="0011793B" w:rsidRPr="00113C90" w14:paraId="5EFCC834" w14:textId="77777777" w:rsidTr="00E12E37">
        <w:tc>
          <w:tcPr>
            <w:tcW w:w="1384" w:type="dxa"/>
          </w:tcPr>
          <w:p w14:paraId="1702ED59" w14:textId="77777777" w:rsidR="0011793B" w:rsidRPr="00113C90" w:rsidRDefault="0011793B" w:rsidP="00113C90">
            <w:r w:rsidRPr="00113C90">
              <w:t>Article 7</w:t>
            </w:r>
          </w:p>
        </w:tc>
        <w:tc>
          <w:tcPr>
            <w:tcW w:w="7858" w:type="dxa"/>
          </w:tcPr>
          <w:p w14:paraId="665827D3" w14:textId="10C9EF85" w:rsidR="0011793B" w:rsidRPr="00113C90" w:rsidRDefault="0011793B" w:rsidP="00113C90">
            <w:r w:rsidRPr="00113C90">
              <w:t>Corresponds to Art 8 ECHR – respect for home, privacy and family life –</w:t>
            </w:r>
            <w:r w:rsidR="001F0DCB">
              <w:t xml:space="preserve"> </w:t>
            </w:r>
            <w:r w:rsidRPr="00113C90">
              <w:t>many cases</w:t>
            </w:r>
            <w:r w:rsidR="00E12E37">
              <w:t xml:space="preserve"> in this area</w:t>
            </w:r>
            <w:r w:rsidR="001F0DCB">
              <w:t xml:space="preserve"> ‘proportionality’ of a possession order</w:t>
            </w:r>
          </w:p>
        </w:tc>
      </w:tr>
      <w:tr w:rsidR="0011793B" w:rsidRPr="00113C90" w14:paraId="09C2606C" w14:textId="77777777" w:rsidTr="00E12E37">
        <w:tc>
          <w:tcPr>
            <w:tcW w:w="1384" w:type="dxa"/>
          </w:tcPr>
          <w:p w14:paraId="22996B14" w14:textId="77777777" w:rsidR="0011793B" w:rsidRPr="00113C90" w:rsidRDefault="0011793B" w:rsidP="00113C90">
            <w:r w:rsidRPr="00113C90">
              <w:t>Article 17</w:t>
            </w:r>
          </w:p>
        </w:tc>
        <w:tc>
          <w:tcPr>
            <w:tcW w:w="7858" w:type="dxa"/>
          </w:tcPr>
          <w:p w14:paraId="72AD9F3A" w14:textId="1CE9E98A" w:rsidR="0011793B" w:rsidRPr="00113C90" w:rsidRDefault="0011793B" w:rsidP="006A07F2">
            <w:r w:rsidRPr="00113C90">
              <w:t>Corresponds to Art 1 of Protocol 1 ECHR right to peaceful enjoyment of possessions (small difference in wording)</w:t>
            </w:r>
            <w:r w:rsidR="00E12E37">
              <w:t xml:space="preserve"> - many cases</w:t>
            </w:r>
          </w:p>
        </w:tc>
      </w:tr>
      <w:tr w:rsidR="0011793B" w:rsidRPr="00113C90" w14:paraId="020FFF05" w14:textId="77777777" w:rsidTr="00E12E37">
        <w:tc>
          <w:tcPr>
            <w:tcW w:w="1384" w:type="dxa"/>
          </w:tcPr>
          <w:p w14:paraId="00F9B587" w14:textId="77777777" w:rsidR="0011793B" w:rsidRPr="00113C90" w:rsidRDefault="0011793B" w:rsidP="00113C90">
            <w:r w:rsidRPr="00113C90">
              <w:t>Article 20</w:t>
            </w:r>
          </w:p>
        </w:tc>
        <w:tc>
          <w:tcPr>
            <w:tcW w:w="7858" w:type="dxa"/>
          </w:tcPr>
          <w:p w14:paraId="06B5A88E" w14:textId="77777777" w:rsidR="0011793B" w:rsidRPr="00113C90" w:rsidRDefault="0011793B" w:rsidP="00113C90">
            <w:r w:rsidRPr="00113C90">
              <w:t>Non discrimination by EU institutions or Member States when implementing EU law</w:t>
            </w:r>
          </w:p>
        </w:tc>
      </w:tr>
      <w:tr w:rsidR="0011793B" w:rsidRPr="00113C90" w14:paraId="16317526" w14:textId="77777777" w:rsidTr="00E12E37">
        <w:tc>
          <w:tcPr>
            <w:tcW w:w="1384" w:type="dxa"/>
          </w:tcPr>
          <w:p w14:paraId="3AB720F8" w14:textId="77777777" w:rsidR="0011793B" w:rsidRPr="00113C90" w:rsidRDefault="0011793B" w:rsidP="00113C90">
            <w:r w:rsidRPr="00113C90">
              <w:t>Article 24</w:t>
            </w:r>
          </w:p>
        </w:tc>
        <w:tc>
          <w:tcPr>
            <w:tcW w:w="7858" w:type="dxa"/>
          </w:tcPr>
          <w:p w14:paraId="1E78AA7E" w14:textId="00A7D458" w:rsidR="0011793B" w:rsidRPr="00113C90" w:rsidRDefault="0011793B" w:rsidP="001F0DCB">
            <w:r w:rsidRPr="00113C90">
              <w:t xml:space="preserve">Rights of the child – ‘right to such protection and care as is necessary for their well-being’ </w:t>
            </w:r>
            <w:r w:rsidR="00D605C7" w:rsidRPr="00113C90">
              <w:t>– ‘best interests of the child’</w:t>
            </w:r>
            <w:r w:rsidRPr="00113C90">
              <w:t xml:space="preserve"> CRC]</w:t>
            </w:r>
          </w:p>
        </w:tc>
      </w:tr>
      <w:tr w:rsidR="0011793B" w:rsidRPr="00113C90" w14:paraId="5EFEF0C1" w14:textId="77777777" w:rsidTr="00E12E37">
        <w:tc>
          <w:tcPr>
            <w:tcW w:w="1384" w:type="dxa"/>
          </w:tcPr>
          <w:p w14:paraId="0267F053" w14:textId="77777777" w:rsidR="0011793B" w:rsidRPr="00113C90" w:rsidRDefault="0011793B" w:rsidP="00113C90">
            <w:r w:rsidRPr="00113C90">
              <w:t>Article 25</w:t>
            </w:r>
          </w:p>
        </w:tc>
        <w:tc>
          <w:tcPr>
            <w:tcW w:w="7858" w:type="dxa"/>
          </w:tcPr>
          <w:p w14:paraId="687B587F" w14:textId="2572E97A" w:rsidR="0011793B" w:rsidRPr="00113C90" w:rsidRDefault="00C06388" w:rsidP="00C06388">
            <w:r>
              <w:t>Rights of the elderly</w:t>
            </w:r>
            <w:r w:rsidR="0011793B" w:rsidRPr="00113C90">
              <w:t xml:space="preserve">– based on Art 23 ESC </w:t>
            </w:r>
          </w:p>
        </w:tc>
      </w:tr>
      <w:tr w:rsidR="00E12E37" w:rsidRPr="00113C90" w14:paraId="5591078E" w14:textId="77777777" w:rsidTr="00E12E37">
        <w:tc>
          <w:tcPr>
            <w:tcW w:w="1384" w:type="dxa"/>
          </w:tcPr>
          <w:p w14:paraId="75670D2D" w14:textId="00BFC04B" w:rsidR="00E12E37" w:rsidRPr="00113C90" w:rsidRDefault="00E12E37" w:rsidP="00113C90">
            <w:r w:rsidRPr="00113C90">
              <w:t>Article 26</w:t>
            </w:r>
          </w:p>
        </w:tc>
        <w:tc>
          <w:tcPr>
            <w:tcW w:w="7858" w:type="dxa"/>
          </w:tcPr>
          <w:p w14:paraId="0D717B3A" w14:textId="5DDF3EC1" w:rsidR="00E12E37" w:rsidRPr="00113C90" w:rsidRDefault="00E12E37" w:rsidP="00E077B2">
            <w:r w:rsidRPr="00113C90">
              <w:t xml:space="preserve">Integration of persons with disabilities – based on Art 15 ESC [enabling access to … housing…] </w:t>
            </w:r>
            <w:r w:rsidR="00E077B2">
              <w:t>Note - UN Convention on Rights of Persons with Disabilities ratified by EU – now part of EU law.</w:t>
            </w:r>
          </w:p>
        </w:tc>
      </w:tr>
      <w:tr w:rsidR="00E12E37" w:rsidRPr="00113C90" w14:paraId="2374603C" w14:textId="77777777" w:rsidTr="00E12E37">
        <w:tc>
          <w:tcPr>
            <w:tcW w:w="1384" w:type="dxa"/>
          </w:tcPr>
          <w:p w14:paraId="4C3B9444" w14:textId="429CAF65" w:rsidR="00E12E37" w:rsidRPr="00113C90" w:rsidRDefault="00E12E37" w:rsidP="00113C90">
            <w:r>
              <w:t>Article 33</w:t>
            </w:r>
          </w:p>
        </w:tc>
        <w:tc>
          <w:tcPr>
            <w:tcW w:w="7858" w:type="dxa"/>
          </w:tcPr>
          <w:p w14:paraId="24B3DEBB" w14:textId="00A57C35" w:rsidR="00E12E37" w:rsidRPr="00113C90" w:rsidRDefault="00E12E37" w:rsidP="00113C90">
            <w:r>
              <w:t xml:space="preserve">Corresponds with Art 16 ESC </w:t>
            </w:r>
            <w:r w:rsidR="003529B5" w:rsidRPr="00113C90">
              <w:t xml:space="preserve">on rights of </w:t>
            </w:r>
            <w:r w:rsidR="003529B5">
              <w:t xml:space="preserve">the </w:t>
            </w:r>
            <w:r w:rsidR="003529B5" w:rsidRPr="00113C90">
              <w:t>family to social, legal and economic protection.</w:t>
            </w:r>
            <w:r w:rsidR="003529B5">
              <w:t xml:space="preserve"> The ECSR has much case law on this.</w:t>
            </w:r>
          </w:p>
        </w:tc>
      </w:tr>
      <w:tr w:rsidR="0011793B" w:rsidRPr="00113C90" w14:paraId="75F9DCE4" w14:textId="77777777" w:rsidTr="00E12E37">
        <w:tc>
          <w:tcPr>
            <w:tcW w:w="1384" w:type="dxa"/>
          </w:tcPr>
          <w:p w14:paraId="37DBC839" w14:textId="77777777" w:rsidR="0011793B" w:rsidRPr="00113C90" w:rsidRDefault="0011793B" w:rsidP="00113C90">
            <w:r w:rsidRPr="00113C90">
              <w:t>Article 34(2)</w:t>
            </w:r>
          </w:p>
        </w:tc>
        <w:tc>
          <w:tcPr>
            <w:tcW w:w="7858" w:type="dxa"/>
          </w:tcPr>
          <w:p w14:paraId="059D134B" w14:textId="77777777" w:rsidR="0011793B" w:rsidRPr="00113C90" w:rsidRDefault="0011793B" w:rsidP="00113C90">
            <w:r w:rsidRPr="00113C90">
              <w:t>Corresponds to Arts 12(4) and 13(4) ESC [right to social security and right to social and medical assistance]</w:t>
            </w:r>
          </w:p>
        </w:tc>
      </w:tr>
      <w:tr w:rsidR="0011793B" w:rsidRPr="00113C90" w14:paraId="31A67814" w14:textId="77777777" w:rsidTr="00E12E37">
        <w:tc>
          <w:tcPr>
            <w:tcW w:w="1384" w:type="dxa"/>
          </w:tcPr>
          <w:p w14:paraId="0D9BFCF5" w14:textId="77777777" w:rsidR="0011793B" w:rsidRPr="00113C90" w:rsidRDefault="0011793B" w:rsidP="00113C90">
            <w:r w:rsidRPr="00113C90">
              <w:t>Article 34(3)</w:t>
            </w:r>
          </w:p>
        </w:tc>
        <w:tc>
          <w:tcPr>
            <w:tcW w:w="7858" w:type="dxa"/>
          </w:tcPr>
          <w:p w14:paraId="34440CA9" w14:textId="629170E9" w:rsidR="0011793B" w:rsidRPr="00113C90" w:rsidRDefault="0011793B" w:rsidP="00113C90">
            <w:r w:rsidRPr="00113C90">
              <w:t xml:space="preserve">Corresponds to Arts 13 ESC and Arts 30 and 31 RESC. Art 31 </w:t>
            </w:r>
            <w:r w:rsidR="00E12E37">
              <w:t xml:space="preserve">RESC </w:t>
            </w:r>
            <w:r w:rsidRPr="00113C90">
              <w:t xml:space="preserve">incorporates Art 16 ESC on rights of </w:t>
            </w:r>
            <w:r w:rsidR="003529B5">
              <w:t xml:space="preserve">the </w:t>
            </w:r>
            <w:r w:rsidRPr="00113C90">
              <w:t xml:space="preserve">family to social, legal and economic protection. </w:t>
            </w:r>
            <w:r w:rsidR="006F6C6A" w:rsidRPr="00113C90">
              <w:t xml:space="preserve">However, </w:t>
            </w:r>
            <w:r w:rsidR="00E12E37">
              <w:t xml:space="preserve">34(3) is </w:t>
            </w:r>
            <w:r w:rsidR="006F6C6A" w:rsidRPr="00113C90">
              <w:t xml:space="preserve">limited to </w:t>
            </w:r>
            <w:r w:rsidRPr="00113C90">
              <w:t>context of Art 153 TFEU [social inclusion policies]</w:t>
            </w:r>
          </w:p>
        </w:tc>
      </w:tr>
      <w:tr w:rsidR="0011793B" w:rsidRPr="00113C90" w14:paraId="62D50B56" w14:textId="77777777" w:rsidTr="00E12E37">
        <w:tc>
          <w:tcPr>
            <w:tcW w:w="1384" w:type="dxa"/>
          </w:tcPr>
          <w:p w14:paraId="5A595215" w14:textId="77777777" w:rsidR="0011793B" w:rsidRPr="00113C90" w:rsidRDefault="0011793B" w:rsidP="00113C90">
            <w:r w:rsidRPr="00113C90">
              <w:t>Article 38</w:t>
            </w:r>
          </w:p>
        </w:tc>
        <w:tc>
          <w:tcPr>
            <w:tcW w:w="7858" w:type="dxa"/>
          </w:tcPr>
          <w:p w14:paraId="2FAEE006" w14:textId="6FAB65F4" w:rsidR="0011793B" w:rsidRPr="00113C90" w:rsidRDefault="0011793B" w:rsidP="00E077B2">
            <w:r w:rsidRPr="00113C90">
              <w:t xml:space="preserve">‘Union policies shall ensure a high level of consumer protection’ </w:t>
            </w:r>
            <w:r w:rsidR="00E12E37">
              <w:t>– general principle</w:t>
            </w:r>
            <w:r w:rsidR="00E077B2">
              <w:t xml:space="preserve"> </w:t>
            </w:r>
            <w:r w:rsidR="00181F89">
              <w:t xml:space="preserve"> </w:t>
            </w:r>
          </w:p>
        </w:tc>
      </w:tr>
      <w:tr w:rsidR="0011793B" w:rsidRPr="00113C90" w14:paraId="57334BBC" w14:textId="77777777" w:rsidTr="00E12E37">
        <w:tc>
          <w:tcPr>
            <w:tcW w:w="1384" w:type="dxa"/>
          </w:tcPr>
          <w:p w14:paraId="2220D52F" w14:textId="77777777" w:rsidR="0011793B" w:rsidRPr="00113C90" w:rsidRDefault="0011793B" w:rsidP="00113C90">
            <w:r w:rsidRPr="00113C90">
              <w:t>Article 47</w:t>
            </w:r>
          </w:p>
        </w:tc>
        <w:tc>
          <w:tcPr>
            <w:tcW w:w="7858" w:type="dxa"/>
          </w:tcPr>
          <w:p w14:paraId="609F37FA" w14:textId="77777777" w:rsidR="0011793B" w:rsidRPr="00113C90" w:rsidRDefault="0011793B" w:rsidP="00113C90">
            <w:r w:rsidRPr="00113C90">
              <w:t xml:space="preserve">Right to effective remedy, fair trial and access to legal aid – based on Art 13 ECHR, Art 6(1) ECHR, </w:t>
            </w:r>
            <w:r w:rsidRPr="00113C90">
              <w:rPr>
                <w:i/>
              </w:rPr>
              <w:t>Airey v Ireland</w:t>
            </w:r>
            <w:r w:rsidRPr="00113C90">
              <w:t xml:space="preserve"> ECtHR 1979 – [where absence of such aid would make it impossible to ensure an effective remedy]</w:t>
            </w:r>
          </w:p>
        </w:tc>
      </w:tr>
      <w:tr w:rsidR="0011793B" w:rsidRPr="00113C90" w14:paraId="68E10E1A" w14:textId="77777777" w:rsidTr="00E12E37">
        <w:tc>
          <w:tcPr>
            <w:tcW w:w="1384" w:type="dxa"/>
          </w:tcPr>
          <w:p w14:paraId="65ED43EF" w14:textId="77777777" w:rsidR="0011793B" w:rsidRPr="00113C90" w:rsidRDefault="0011793B" w:rsidP="00113C90">
            <w:r w:rsidRPr="00113C90">
              <w:t>Article 53</w:t>
            </w:r>
          </w:p>
        </w:tc>
        <w:tc>
          <w:tcPr>
            <w:tcW w:w="7858" w:type="dxa"/>
          </w:tcPr>
          <w:p w14:paraId="5A542374" w14:textId="77777777" w:rsidR="0011793B" w:rsidRPr="00113C90" w:rsidRDefault="0011793B" w:rsidP="00113C90">
            <w:r w:rsidRPr="00113C90">
              <w:t>Maintain existing human rights protection from EU, national and international law.</w:t>
            </w:r>
          </w:p>
        </w:tc>
      </w:tr>
    </w:tbl>
    <w:p w14:paraId="71DD2538" w14:textId="77777777" w:rsidR="00871ECA" w:rsidRDefault="00871ECA" w:rsidP="003529B5">
      <w:pPr>
        <w:pStyle w:val="NormalWeb"/>
        <w:shd w:val="clear" w:color="auto" w:fill="FFFFFF"/>
        <w:spacing w:before="0" w:beforeAutospacing="0" w:after="0" w:afterAutospacing="0"/>
        <w:rPr>
          <w:rFonts w:ascii="Arial" w:eastAsiaTheme="minorHAnsi" w:hAnsi="Arial" w:cs="Arial"/>
          <w:lang w:eastAsia="en-US"/>
        </w:rPr>
      </w:pPr>
    </w:p>
    <w:p w14:paraId="4251B25F" w14:textId="77777777" w:rsidR="003529B5" w:rsidRPr="00113C90" w:rsidRDefault="003529B5" w:rsidP="003529B5">
      <w:pPr>
        <w:pStyle w:val="NormalWeb"/>
        <w:shd w:val="clear" w:color="auto" w:fill="FFFFFF"/>
        <w:spacing w:before="0" w:beforeAutospacing="0" w:after="0" w:afterAutospacing="0"/>
        <w:rPr>
          <w:rFonts w:ascii="Arial" w:eastAsiaTheme="minorHAnsi" w:hAnsi="Arial" w:cs="Arial"/>
          <w:lang w:eastAsia="en-US"/>
        </w:rPr>
      </w:pPr>
      <w:r>
        <w:rPr>
          <w:rFonts w:ascii="Arial" w:eastAsiaTheme="minorHAnsi" w:hAnsi="Arial" w:cs="Arial"/>
          <w:lang w:eastAsia="en-US"/>
        </w:rPr>
        <w:t>CRC = UN Convention on the Rights of the Child.</w:t>
      </w:r>
    </w:p>
    <w:p w14:paraId="72801853" w14:textId="5AA73555" w:rsidR="0011793B" w:rsidRDefault="00C06388" w:rsidP="00113C90">
      <w:pPr>
        <w:pStyle w:val="NormalWeb"/>
        <w:shd w:val="clear" w:color="auto" w:fill="FFFFFF"/>
        <w:spacing w:before="0" w:beforeAutospacing="0" w:after="0" w:afterAutospacing="0"/>
        <w:rPr>
          <w:rFonts w:ascii="Arial" w:eastAsiaTheme="minorHAnsi" w:hAnsi="Arial" w:cs="Arial"/>
          <w:lang w:eastAsia="en-US"/>
        </w:rPr>
      </w:pPr>
      <w:r>
        <w:rPr>
          <w:rFonts w:ascii="Arial" w:eastAsiaTheme="minorHAnsi" w:hAnsi="Arial" w:cs="Arial"/>
          <w:lang w:eastAsia="en-US"/>
        </w:rPr>
        <w:t>ECHR = European Convention on Human Rights</w:t>
      </w:r>
    </w:p>
    <w:p w14:paraId="5334BF27" w14:textId="72156E7F" w:rsidR="003529B5" w:rsidRDefault="003529B5" w:rsidP="00113C90">
      <w:pPr>
        <w:pStyle w:val="NormalWeb"/>
        <w:shd w:val="clear" w:color="auto" w:fill="FFFFFF"/>
        <w:spacing w:before="0" w:beforeAutospacing="0" w:after="0" w:afterAutospacing="0"/>
        <w:rPr>
          <w:rFonts w:ascii="Arial" w:eastAsiaTheme="minorHAnsi" w:hAnsi="Arial" w:cs="Arial"/>
          <w:lang w:eastAsia="en-US"/>
        </w:rPr>
      </w:pPr>
      <w:r>
        <w:rPr>
          <w:rFonts w:ascii="Arial" w:eastAsiaTheme="minorHAnsi" w:hAnsi="Arial" w:cs="Arial"/>
          <w:lang w:eastAsia="en-US"/>
        </w:rPr>
        <w:t>ECSR = Council of Europe European Committee of Social Rights</w:t>
      </w:r>
    </w:p>
    <w:p w14:paraId="5BB5D339" w14:textId="3B3CF56C" w:rsidR="00C06388" w:rsidRDefault="00DD5C2F" w:rsidP="00113C90">
      <w:pPr>
        <w:pStyle w:val="NormalWeb"/>
        <w:shd w:val="clear" w:color="auto" w:fill="FFFFFF"/>
        <w:spacing w:before="0" w:beforeAutospacing="0" w:after="0" w:afterAutospacing="0"/>
        <w:rPr>
          <w:rFonts w:ascii="Arial" w:eastAsiaTheme="minorHAnsi" w:hAnsi="Arial" w:cs="Arial"/>
          <w:lang w:eastAsia="en-US"/>
        </w:rPr>
      </w:pPr>
      <w:r>
        <w:rPr>
          <w:rFonts w:ascii="Arial" w:eastAsiaTheme="minorHAnsi" w:hAnsi="Arial" w:cs="Arial"/>
          <w:lang w:eastAsia="en-US"/>
        </w:rPr>
        <w:t>(</w:t>
      </w:r>
      <w:r w:rsidR="00E12E37">
        <w:rPr>
          <w:rFonts w:ascii="Arial" w:eastAsiaTheme="minorHAnsi" w:hAnsi="Arial" w:cs="Arial"/>
          <w:lang w:eastAsia="en-US"/>
        </w:rPr>
        <w:t>R)</w:t>
      </w:r>
      <w:r w:rsidR="00C06388">
        <w:rPr>
          <w:rFonts w:ascii="Arial" w:eastAsiaTheme="minorHAnsi" w:hAnsi="Arial" w:cs="Arial"/>
          <w:lang w:eastAsia="en-US"/>
        </w:rPr>
        <w:t>ESC = Council of Europe European Social Charter</w:t>
      </w:r>
      <w:r w:rsidR="00E12E37">
        <w:rPr>
          <w:rFonts w:ascii="Arial" w:eastAsiaTheme="minorHAnsi" w:hAnsi="Arial" w:cs="Arial"/>
          <w:lang w:eastAsia="en-US"/>
        </w:rPr>
        <w:t xml:space="preserve"> (Revised)</w:t>
      </w:r>
    </w:p>
    <w:p w14:paraId="57E50570" w14:textId="77777777" w:rsidR="006A07F2" w:rsidRDefault="006A07F2" w:rsidP="00113C90">
      <w:pPr>
        <w:pStyle w:val="NormalWeb"/>
        <w:shd w:val="clear" w:color="auto" w:fill="FFFFFF"/>
        <w:spacing w:before="0" w:beforeAutospacing="0" w:after="0" w:afterAutospacing="0"/>
        <w:rPr>
          <w:rFonts w:ascii="Arial" w:eastAsiaTheme="minorHAnsi" w:hAnsi="Arial" w:cs="Arial"/>
          <w:b/>
          <w:lang w:eastAsia="en-US"/>
        </w:rPr>
      </w:pPr>
    </w:p>
    <w:p w14:paraId="1EC941D2" w14:textId="77777777" w:rsidR="00124C7D" w:rsidRDefault="00124C7D">
      <w:pPr>
        <w:rPr>
          <w:rFonts w:ascii="Arial" w:hAnsi="Arial" w:cs="Arial"/>
          <w:b/>
          <w:sz w:val="24"/>
          <w:szCs w:val="24"/>
        </w:rPr>
      </w:pPr>
      <w:r>
        <w:rPr>
          <w:rFonts w:ascii="Arial" w:hAnsi="Arial" w:cs="Arial"/>
          <w:b/>
          <w:sz w:val="24"/>
          <w:szCs w:val="24"/>
        </w:rPr>
        <w:br w:type="page"/>
      </w:r>
    </w:p>
    <w:p w14:paraId="3880C4AD" w14:textId="6077C4A9" w:rsidR="00151A08" w:rsidRPr="009E3CCF" w:rsidRDefault="009E3CCF" w:rsidP="00113C90">
      <w:pPr>
        <w:spacing w:after="0" w:line="240" w:lineRule="auto"/>
        <w:rPr>
          <w:rFonts w:ascii="Arial" w:hAnsi="Arial" w:cs="Arial"/>
          <w:b/>
          <w:sz w:val="28"/>
          <w:szCs w:val="28"/>
        </w:rPr>
      </w:pPr>
      <w:r w:rsidRPr="009E3CCF">
        <w:rPr>
          <w:rFonts w:ascii="Arial" w:hAnsi="Arial" w:cs="Arial"/>
          <w:b/>
          <w:sz w:val="28"/>
          <w:szCs w:val="28"/>
        </w:rPr>
        <w:t xml:space="preserve">5. </w:t>
      </w:r>
      <w:r w:rsidR="00151A08" w:rsidRPr="009E3CCF">
        <w:rPr>
          <w:rFonts w:ascii="Arial" w:hAnsi="Arial" w:cs="Arial"/>
          <w:b/>
          <w:sz w:val="28"/>
          <w:szCs w:val="28"/>
        </w:rPr>
        <w:t xml:space="preserve">Examples of how the </w:t>
      </w:r>
      <w:r w:rsidR="00160C04" w:rsidRPr="009E3CCF">
        <w:rPr>
          <w:rFonts w:ascii="Arial" w:hAnsi="Arial" w:cs="Arial"/>
          <w:b/>
          <w:sz w:val="28"/>
          <w:szCs w:val="28"/>
        </w:rPr>
        <w:t>Charter</w:t>
      </w:r>
      <w:r w:rsidR="00151A08" w:rsidRPr="009E3CCF">
        <w:rPr>
          <w:rFonts w:ascii="Arial" w:hAnsi="Arial" w:cs="Arial"/>
          <w:b/>
          <w:sz w:val="28"/>
          <w:szCs w:val="28"/>
        </w:rPr>
        <w:t xml:space="preserve"> is being integrated into the implementation of UCTD.</w:t>
      </w:r>
    </w:p>
    <w:p w14:paraId="15EB0842" w14:textId="77777777" w:rsidR="00D7718C" w:rsidRPr="00113C90" w:rsidRDefault="00D7718C" w:rsidP="00D7718C">
      <w:pPr>
        <w:spacing w:after="0" w:line="240" w:lineRule="auto"/>
        <w:rPr>
          <w:rFonts w:ascii="Arial" w:hAnsi="Arial" w:cs="Arial"/>
          <w:b/>
          <w:sz w:val="24"/>
          <w:szCs w:val="24"/>
        </w:rPr>
      </w:pPr>
    </w:p>
    <w:p w14:paraId="5E8B06DC" w14:textId="757622EB" w:rsidR="00F64022" w:rsidRPr="00113C90" w:rsidRDefault="00F64022" w:rsidP="003F3C5E">
      <w:pPr>
        <w:spacing w:after="0" w:line="240" w:lineRule="auto"/>
        <w:rPr>
          <w:rFonts w:ascii="Arial" w:hAnsi="Arial" w:cs="Arial"/>
          <w:color w:val="000000"/>
          <w:sz w:val="24"/>
          <w:szCs w:val="24"/>
        </w:rPr>
      </w:pPr>
      <w:r w:rsidRPr="00113C90">
        <w:rPr>
          <w:rFonts w:ascii="Arial" w:hAnsi="Arial" w:cs="Arial"/>
          <w:color w:val="000000"/>
          <w:sz w:val="24"/>
          <w:szCs w:val="24"/>
        </w:rPr>
        <w:t>Directive 93/13/EEC on unfair terms in consumer contracts (UCTD)</w:t>
      </w:r>
      <w:r w:rsidRPr="00113C90">
        <w:rPr>
          <w:rStyle w:val="FootnoteReference"/>
          <w:rFonts w:ascii="Arial" w:hAnsi="Arial" w:cs="Arial"/>
          <w:color w:val="000000"/>
          <w:sz w:val="24"/>
          <w:szCs w:val="24"/>
          <w:lang w:val="en-GB"/>
        </w:rPr>
        <w:footnoteReference w:id="75"/>
      </w:r>
      <w:r w:rsidRPr="00113C90">
        <w:rPr>
          <w:rFonts w:ascii="Arial" w:hAnsi="Arial" w:cs="Arial"/>
          <w:color w:val="000000"/>
          <w:sz w:val="24"/>
          <w:szCs w:val="24"/>
        </w:rPr>
        <w:t xml:space="preserve"> requires a national court to examine, of their own motion, contracts (including mortgage contracts) for compliance with directive obligations.</w:t>
      </w:r>
      <w:r w:rsidRPr="00113C90">
        <w:rPr>
          <w:rStyle w:val="FootnoteReference"/>
          <w:rFonts w:ascii="Arial" w:hAnsi="Arial" w:cs="Arial"/>
          <w:bCs/>
          <w:color w:val="000000"/>
          <w:sz w:val="24"/>
          <w:szCs w:val="24"/>
          <w:lang w:val="en-GB"/>
        </w:rPr>
        <w:footnoteReference w:id="76"/>
      </w:r>
      <w:r w:rsidRPr="00113C90">
        <w:rPr>
          <w:rFonts w:ascii="Arial" w:hAnsi="Arial" w:cs="Arial"/>
          <w:i/>
          <w:color w:val="000000"/>
          <w:sz w:val="24"/>
          <w:szCs w:val="24"/>
        </w:rPr>
        <w:t xml:space="preserve"> </w:t>
      </w:r>
      <w:r w:rsidRPr="00113C90">
        <w:rPr>
          <w:rFonts w:ascii="Arial" w:hAnsi="Arial" w:cs="Arial"/>
          <w:color w:val="000000"/>
          <w:sz w:val="24"/>
          <w:szCs w:val="24"/>
        </w:rPr>
        <w:t xml:space="preserve">The now iconic CJEU decision in </w:t>
      </w:r>
      <w:r w:rsidRPr="00113C90">
        <w:rPr>
          <w:rFonts w:ascii="Arial" w:hAnsi="Arial" w:cs="Arial"/>
          <w:i/>
          <w:color w:val="000000"/>
          <w:sz w:val="24"/>
          <w:szCs w:val="24"/>
        </w:rPr>
        <w:t>Aziz v Caixa d´Estalvis de Catalunya,</w:t>
      </w:r>
      <w:r w:rsidRPr="00113C90">
        <w:rPr>
          <w:rStyle w:val="FootnoteReference"/>
          <w:rFonts w:ascii="Arial" w:hAnsi="Arial" w:cs="Arial"/>
          <w:color w:val="000000"/>
          <w:sz w:val="24"/>
          <w:szCs w:val="24"/>
          <w:lang w:val="en-GB"/>
        </w:rPr>
        <w:footnoteReference w:id="77"/>
      </w:r>
      <w:r w:rsidRPr="00113C90">
        <w:rPr>
          <w:rFonts w:ascii="Arial" w:hAnsi="Arial" w:cs="Arial"/>
          <w:i/>
          <w:color w:val="000000"/>
          <w:sz w:val="24"/>
          <w:szCs w:val="24"/>
        </w:rPr>
        <w:t xml:space="preserve"> </w:t>
      </w:r>
      <w:r w:rsidRPr="00113C90">
        <w:rPr>
          <w:rFonts w:ascii="Arial" w:hAnsi="Arial" w:cs="Arial"/>
          <w:color w:val="000000"/>
          <w:sz w:val="24"/>
          <w:szCs w:val="24"/>
        </w:rPr>
        <w:t xml:space="preserve">established that Spanish mortgage procedural law was incompatible with EU law, since a borrower had limited defences in a lawsuit for mortgage default which would lead to eviction, despite there being a valid claim under the UCTD. Similarly, in </w:t>
      </w:r>
      <w:r w:rsidRPr="00113C90">
        <w:rPr>
          <w:rFonts w:ascii="Arial" w:hAnsi="Arial" w:cs="Arial"/>
          <w:i/>
          <w:color w:val="000000"/>
          <w:sz w:val="24"/>
          <w:szCs w:val="24"/>
        </w:rPr>
        <w:t>Sánchez Morcillo</w:t>
      </w:r>
      <w:r w:rsidRPr="00113C90">
        <w:rPr>
          <w:rFonts w:ascii="Arial" w:hAnsi="Arial" w:cs="Arial"/>
          <w:color w:val="000000"/>
          <w:sz w:val="24"/>
          <w:szCs w:val="24"/>
        </w:rPr>
        <w:t>,</w:t>
      </w:r>
      <w:r w:rsidRPr="00113C90">
        <w:rPr>
          <w:rStyle w:val="FootnoteReference"/>
          <w:rFonts w:ascii="Arial" w:hAnsi="Arial" w:cs="Arial"/>
          <w:color w:val="000000"/>
          <w:sz w:val="24"/>
          <w:szCs w:val="24"/>
          <w:lang w:val="en-GB"/>
        </w:rPr>
        <w:footnoteReference w:id="78"/>
      </w:r>
      <w:r w:rsidRPr="00113C90">
        <w:rPr>
          <w:rFonts w:ascii="Arial" w:hAnsi="Arial" w:cs="Arial"/>
          <w:color w:val="000000"/>
          <w:sz w:val="24"/>
          <w:szCs w:val="24"/>
        </w:rPr>
        <w:t xml:space="preserve"> the CJEU held that the Spanish mortgage regime was not compatible with EU law</w:t>
      </w:r>
      <w:r w:rsidR="00037BFE">
        <w:rPr>
          <w:rFonts w:ascii="Arial" w:hAnsi="Arial" w:cs="Arial"/>
          <w:color w:val="000000"/>
          <w:sz w:val="24"/>
          <w:szCs w:val="24"/>
        </w:rPr>
        <w:t>,</w:t>
      </w:r>
      <w:r w:rsidRPr="00113C90">
        <w:rPr>
          <w:rFonts w:ascii="Arial" w:hAnsi="Arial" w:cs="Arial"/>
          <w:color w:val="000000"/>
          <w:sz w:val="24"/>
          <w:szCs w:val="24"/>
        </w:rPr>
        <w:t xml:space="preserve"> since the debtor against whom mortgage enforcement proceedings were brought could not appeal against a decision dismissing his objection to that enforcement. The CJEU, having accepted that this involved Spanish State implemention </w:t>
      </w:r>
      <w:r w:rsidR="00037BFE">
        <w:rPr>
          <w:rFonts w:ascii="Arial" w:hAnsi="Arial" w:cs="Arial"/>
          <w:color w:val="000000"/>
          <w:sz w:val="24"/>
          <w:szCs w:val="24"/>
        </w:rPr>
        <w:t xml:space="preserve">the UCTD was within the scope of EU law, </w:t>
      </w:r>
      <w:r w:rsidRPr="00113C90">
        <w:rPr>
          <w:rFonts w:ascii="Arial" w:hAnsi="Arial" w:cs="Arial"/>
          <w:color w:val="000000"/>
          <w:sz w:val="24"/>
          <w:szCs w:val="24"/>
        </w:rPr>
        <w:t xml:space="preserve">applied the </w:t>
      </w:r>
      <w:r w:rsidR="00160C04">
        <w:rPr>
          <w:rFonts w:ascii="Arial" w:hAnsi="Arial" w:cs="Arial"/>
          <w:color w:val="000000"/>
          <w:sz w:val="24"/>
          <w:szCs w:val="24"/>
        </w:rPr>
        <w:t>C</w:t>
      </w:r>
      <w:r w:rsidR="00387FED">
        <w:rPr>
          <w:rFonts w:ascii="Arial" w:hAnsi="Arial" w:cs="Arial"/>
          <w:color w:val="000000"/>
          <w:sz w:val="24"/>
          <w:szCs w:val="24"/>
        </w:rPr>
        <w:t>harter</w:t>
      </w:r>
      <w:r w:rsidRPr="00113C90">
        <w:rPr>
          <w:rFonts w:ascii="Arial" w:hAnsi="Arial" w:cs="Arial"/>
          <w:color w:val="000000"/>
          <w:sz w:val="24"/>
          <w:szCs w:val="24"/>
        </w:rPr>
        <w:t>, and found a violation of Article 47 on the right to fair procedures.</w:t>
      </w:r>
    </w:p>
    <w:p w14:paraId="11A8DB20" w14:textId="77777777" w:rsidR="00D7718C" w:rsidRDefault="00D7718C" w:rsidP="00113C90">
      <w:pPr>
        <w:pStyle w:val="c02alineaalta"/>
        <w:spacing w:before="0" w:beforeAutospacing="0" w:after="0" w:afterAutospacing="0"/>
        <w:rPr>
          <w:rFonts w:ascii="Arial" w:hAnsi="Arial" w:cs="Arial"/>
          <w:sz w:val="24"/>
          <w:szCs w:val="24"/>
        </w:rPr>
      </w:pPr>
    </w:p>
    <w:p w14:paraId="3F05E961" w14:textId="0BF23AFB" w:rsidR="00151A08" w:rsidRDefault="00C85F4A" w:rsidP="00113C90">
      <w:pPr>
        <w:pStyle w:val="c02alineaalta"/>
        <w:spacing w:before="0" w:beforeAutospacing="0" w:after="0" w:afterAutospacing="0"/>
        <w:rPr>
          <w:rFonts w:ascii="Arial" w:hAnsi="Arial" w:cs="Arial"/>
          <w:bCs/>
          <w:sz w:val="24"/>
          <w:szCs w:val="24"/>
        </w:rPr>
      </w:pPr>
      <w:r w:rsidRPr="00113C90">
        <w:rPr>
          <w:rFonts w:ascii="Arial" w:hAnsi="Arial" w:cs="Arial"/>
          <w:sz w:val="24"/>
          <w:szCs w:val="24"/>
        </w:rPr>
        <w:t>T</w:t>
      </w:r>
      <w:r w:rsidR="00151A08" w:rsidRPr="00113C90">
        <w:rPr>
          <w:rFonts w:ascii="Arial" w:hAnsi="Arial" w:cs="Arial"/>
          <w:sz w:val="24"/>
          <w:szCs w:val="24"/>
        </w:rPr>
        <w:t xml:space="preserve">he case of </w:t>
      </w:r>
      <w:r w:rsidR="00151A08" w:rsidRPr="00113C90">
        <w:rPr>
          <w:rFonts w:ascii="Arial" w:hAnsi="Arial" w:cs="Arial"/>
          <w:bCs/>
          <w:i/>
          <w:sz w:val="24"/>
          <w:szCs w:val="24"/>
        </w:rPr>
        <w:t>Kušionová</w:t>
      </w:r>
      <w:r w:rsidR="00151A08" w:rsidRPr="00113C90">
        <w:rPr>
          <w:rFonts w:ascii="Arial" w:hAnsi="Arial" w:cs="Arial"/>
          <w:b/>
          <w:bCs/>
          <w:i/>
          <w:sz w:val="24"/>
          <w:szCs w:val="24"/>
        </w:rPr>
        <w:t xml:space="preserve"> </w:t>
      </w:r>
      <w:r w:rsidR="00151A08" w:rsidRPr="00113C90">
        <w:rPr>
          <w:rFonts w:ascii="Arial" w:hAnsi="Arial" w:cs="Arial"/>
          <w:i/>
          <w:sz w:val="24"/>
          <w:szCs w:val="24"/>
        </w:rPr>
        <w:t xml:space="preserve">v </w:t>
      </w:r>
      <w:r w:rsidR="00151A08" w:rsidRPr="00113C90">
        <w:rPr>
          <w:rFonts w:ascii="Arial" w:hAnsi="Arial" w:cs="Arial"/>
          <w:bCs/>
          <w:i/>
          <w:sz w:val="24"/>
          <w:szCs w:val="24"/>
        </w:rPr>
        <w:t>SMART Capital a.s</w:t>
      </w:r>
      <w:r w:rsidR="00151A08" w:rsidRPr="00113C90">
        <w:rPr>
          <w:rFonts w:ascii="Arial" w:hAnsi="Arial" w:cs="Arial"/>
          <w:bCs/>
          <w:sz w:val="24"/>
          <w:szCs w:val="24"/>
        </w:rPr>
        <w:t>.,</w:t>
      </w:r>
      <w:r w:rsidR="00151A08" w:rsidRPr="00113C90">
        <w:rPr>
          <w:rStyle w:val="FootnoteReference"/>
          <w:rFonts w:ascii="Arial" w:hAnsi="Arial" w:cs="Arial"/>
          <w:bCs/>
          <w:sz w:val="24"/>
          <w:szCs w:val="24"/>
        </w:rPr>
        <w:footnoteReference w:id="79"/>
      </w:r>
      <w:r w:rsidR="00151A08" w:rsidRPr="00113C90">
        <w:rPr>
          <w:rFonts w:ascii="Arial" w:hAnsi="Arial" w:cs="Arial"/>
          <w:bCs/>
          <w:sz w:val="24"/>
          <w:szCs w:val="24"/>
        </w:rPr>
        <w:t xml:space="preserve"> illustrates how the </w:t>
      </w:r>
      <w:r w:rsidR="00160C04">
        <w:rPr>
          <w:rFonts w:ascii="Arial" w:hAnsi="Arial" w:cs="Arial"/>
          <w:bCs/>
          <w:sz w:val="24"/>
          <w:szCs w:val="24"/>
        </w:rPr>
        <w:t>C</w:t>
      </w:r>
      <w:r w:rsidR="00387FED">
        <w:rPr>
          <w:rFonts w:ascii="Arial" w:hAnsi="Arial" w:cs="Arial"/>
          <w:bCs/>
          <w:sz w:val="24"/>
          <w:szCs w:val="24"/>
        </w:rPr>
        <w:t>harter</w:t>
      </w:r>
      <w:r w:rsidR="00151A08" w:rsidRPr="00113C90">
        <w:rPr>
          <w:rFonts w:ascii="Arial" w:hAnsi="Arial" w:cs="Arial"/>
          <w:bCs/>
          <w:sz w:val="24"/>
          <w:szCs w:val="24"/>
        </w:rPr>
        <w:t xml:space="preserve"> is being integrated into the oversight of the implementation of the UCTD. Mrs Kušionová concluded a consumer credit agreement with SMART Capital for €10,000, and the loan was secured by a charge on her family home. She claimed a term </w:t>
      </w:r>
      <w:r w:rsidR="003E2DB7">
        <w:rPr>
          <w:rFonts w:ascii="Arial" w:hAnsi="Arial" w:cs="Arial"/>
          <w:bCs/>
          <w:sz w:val="24"/>
          <w:szCs w:val="24"/>
        </w:rPr>
        <w:t xml:space="preserve">in the contract </w:t>
      </w:r>
      <w:r w:rsidR="00151A08" w:rsidRPr="00113C90">
        <w:rPr>
          <w:rFonts w:ascii="Arial" w:hAnsi="Arial" w:cs="Arial"/>
          <w:bCs/>
          <w:sz w:val="24"/>
          <w:szCs w:val="24"/>
        </w:rPr>
        <w:t>which allowed extrajudicial enforcement of the charge was unfair – as the enforcement could be carried out without any review by a court. This term derived from a statutory prov</w:t>
      </w:r>
      <w:r w:rsidR="003E2DB7">
        <w:rPr>
          <w:rFonts w:ascii="Arial" w:hAnsi="Arial" w:cs="Arial"/>
          <w:bCs/>
          <w:sz w:val="24"/>
          <w:szCs w:val="24"/>
        </w:rPr>
        <w:t>i</w:t>
      </w:r>
      <w:r w:rsidR="00151A08" w:rsidRPr="00113C90">
        <w:rPr>
          <w:rFonts w:ascii="Arial" w:hAnsi="Arial" w:cs="Arial"/>
          <w:bCs/>
          <w:sz w:val="24"/>
          <w:szCs w:val="24"/>
        </w:rPr>
        <w:t>sion</w:t>
      </w:r>
      <w:r w:rsidR="003E2DB7">
        <w:rPr>
          <w:rFonts w:ascii="Arial" w:hAnsi="Arial" w:cs="Arial"/>
          <w:bCs/>
          <w:sz w:val="24"/>
          <w:szCs w:val="24"/>
        </w:rPr>
        <w:t xml:space="preserve"> in</w:t>
      </w:r>
      <w:r w:rsidR="00151A08" w:rsidRPr="00113C90">
        <w:rPr>
          <w:rFonts w:ascii="Arial" w:hAnsi="Arial" w:cs="Arial"/>
          <w:bCs/>
          <w:sz w:val="24"/>
          <w:szCs w:val="24"/>
        </w:rPr>
        <w:t xml:space="preserve"> Slovakian law (which had actually been amended in the period since the reference). </w:t>
      </w:r>
    </w:p>
    <w:p w14:paraId="74A89734" w14:textId="77777777" w:rsidR="00D7718C" w:rsidRPr="00113C90" w:rsidRDefault="00D7718C" w:rsidP="00113C90">
      <w:pPr>
        <w:pStyle w:val="c02alineaalta"/>
        <w:spacing w:before="0" w:beforeAutospacing="0" w:after="0" w:afterAutospacing="0"/>
        <w:rPr>
          <w:rFonts w:ascii="Arial" w:hAnsi="Arial" w:cs="Arial"/>
          <w:bCs/>
          <w:sz w:val="24"/>
          <w:szCs w:val="24"/>
        </w:rPr>
      </w:pPr>
    </w:p>
    <w:p w14:paraId="60D7017B" w14:textId="4B0C6C9D" w:rsidR="00151A08" w:rsidRPr="00113C90" w:rsidRDefault="00151A08" w:rsidP="00113C90">
      <w:pPr>
        <w:pStyle w:val="c02alineaalta"/>
        <w:spacing w:before="0" w:beforeAutospacing="0" w:after="0" w:afterAutospacing="0"/>
        <w:rPr>
          <w:rFonts w:ascii="Arial" w:hAnsi="Arial" w:cs="Arial"/>
          <w:bCs/>
          <w:sz w:val="24"/>
          <w:szCs w:val="24"/>
        </w:rPr>
      </w:pPr>
      <w:r w:rsidRPr="00113C90">
        <w:rPr>
          <w:rFonts w:ascii="Arial" w:hAnsi="Arial" w:cs="Arial"/>
          <w:bCs/>
          <w:sz w:val="24"/>
          <w:szCs w:val="24"/>
        </w:rPr>
        <w:t xml:space="preserve">Although the request for a preliminary ruling on the interpretation of the UCTD (among other instruments) initially only referred to Article 38 </w:t>
      </w:r>
      <w:r w:rsidR="00525381">
        <w:rPr>
          <w:rFonts w:ascii="Arial" w:hAnsi="Arial" w:cs="Arial"/>
          <w:bCs/>
          <w:sz w:val="24"/>
          <w:szCs w:val="24"/>
        </w:rPr>
        <w:t>Charter</w:t>
      </w:r>
      <w:r w:rsidRPr="00113C90">
        <w:rPr>
          <w:rStyle w:val="FootnoteReference"/>
          <w:rFonts w:ascii="Arial" w:hAnsi="Arial" w:cs="Arial"/>
          <w:bCs/>
          <w:sz w:val="24"/>
          <w:szCs w:val="24"/>
        </w:rPr>
        <w:footnoteReference w:id="80"/>
      </w:r>
      <w:r w:rsidRPr="00113C90">
        <w:rPr>
          <w:rFonts w:ascii="Arial" w:hAnsi="Arial" w:cs="Arial"/>
          <w:bCs/>
          <w:sz w:val="24"/>
          <w:szCs w:val="24"/>
        </w:rPr>
        <w:t xml:space="preserve"> and the judgment of </w:t>
      </w:r>
      <w:r w:rsidRPr="00113C90">
        <w:rPr>
          <w:rFonts w:ascii="Arial" w:hAnsi="Arial" w:cs="Arial"/>
          <w:bCs/>
          <w:i/>
          <w:sz w:val="24"/>
          <w:szCs w:val="24"/>
        </w:rPr>
        <w:t>Simmenthal,</w:t>
      </w:r>
      <w:r w:rsidRPr="00113C90">
        <w:rPr>
          <w:rStyle w:val="FootnoteReference"/>
          <w:rFonts w:ascii="Arial" w:hAnsi="Arial" w:cs="Arial"/>
          <w:bCs/>
          <w:sz w:val="24"/>
          <w:szCs w:val="24"/>
        </w:rPr>
        <w:footnoteReference w:id="81"/>
      </w:r>
      <w:r w:rsidRPr="00113C90">
        <w:rPr>
          <w:rFonts w:ascii="Arial" w:hAnsi="Arial" w:cs="Arial"/>
          <w:bCs/>
          <w:i/>
          <w:sz w:val="24"/>
          <w:szCs w:val="24"/>
        </w:rPr>
        <w:t xml:space="preserve"> </w:t>
      </w:r>
      <w:r w:rsidRPr="00113C90">
        <w:rPr>
          <w:rFonts w:ascii="Arial" w:hAnsi="Arial" w:cs="Arial"/>
          <w:bCs/>
          <w:sz w:val="24"/>
          <w:szCs w:val="24"/>
        </w:rPr>
        <w:t xml:space="preserve">the CJEU included Article 47 (on the right to a remedy) </w:t>
      </w:r>
      <w:r w:rsidR="003E2DB7">
        <w:rPr>
          <w:rFonts w:ascii="Arial" w:hAnsi="Arial" w:cs="Arial"/>
          <w:bCs/>
          <w:sz w:val="24"/>
          <w:szCs w:val="24"/>
        </w:rPr>
        <w:t>in its reasoning:</w:t>
      </w:r>
    </w:p>
    <w:p w14:paraId="4CDD7F57" w14:textId="77777777" w:rsidR="00D7718C" w:rsidRDefault="00D7718C" w:rsidP="00113C90">
      <w:pPr>
        <w:pStyle w:val="c02alineaalta"/>
        <w:spacing w:before="0" w:beforeAutospacing="0" w:after="0" w:afterAutospacing="0"/>
        <w:rPr>
          <w:rFonts w:ascii="Arial" w:eastAsia="Times New Roman" w:hAnsi="Arial" w:cs="Arial"/>
          <w:i/>
          <w:sz w:val="24"/>
          <w:szCs w:val="24"/>
        </w:rPr>
      </w:pPr>
    </w:p>
    <w:p w14:paraId="3360C452" w14:textId="33AFC9D1" w:rsidR="00151A08" w:rsidRPr="009E3CCF" w:rsidRDefault="00151A08" w:rsidP="00D7718C">
      <w:pPr>
        <w:pStyle w:val="c02alineaalta"/>
        <w:spacing w:before="0" w:beforeAutospacing="0" w:after="0" w:afterAutospacing="0"/>
        <w:ind w:left="720"/>
        <w:rPr>
          <w:rFonts w:ascii="Arial" w:eastAsia="Times New Roman" w:hAnsi="Arial" w:cs="Arial"/>
          <w:sz w:val="22"/>
          <w:szCs w:val="22"/>
        </w:rPr>
      </w:pPr>
      <w:r w:rsidRPr="009E3CCF">
        <w:rPr>
          <w:rFonts w:ascii="Arial" w:eastAsia="Times New Roman" w:hAnsi="Arial" w:cs="Arial"/>
          <w:sz w:val="22"/>
          <w:szCs w:val="22"/>
        </w:rPr>
        <w:t xml:space="preserve">Para 45.  It should be pointed out that, although the first question refers only to Article 38 of the </w:t>
      </w:r>
      <w:r w:rsidR="00160C04" w:rsidRPr="009E3CCF">
        <w:rPr>
          <w:rFonts w:ascii="Arial" w:eastAsia="Times New Roman" w:hAnsi="Arial" w:cs="Arial"/>
          <w:sz w:val="22"/>
          <w:szCs w:val="22"/>
        </w:rPr>
        <w:t>Charter</w:t>
      </w:r>
      <w:r w:rsidRPr="009E3CCF">
        <w:rPr>
          <w:rFonts w:ascii="Arial" w:eastAsia="Times New Roman" w:hAnsi="Arial" w:cs="Arial"/>
          <w:sz w:val="22"/>
          <w:szCs w:val="22"/>
        </w:rPr>
        <w:t xml:space="preserve">, the present request for a preliminary ruling relates to, in essence, and cites, in particular, among the relevant elements of EU law, Article 47 of the </w:t>
      </w:r>
      <w:r w:rsidR="00160C04" w:rsidRPr="009E3CCF">
        <w:rPr>
          <w:rFonts w:ascii="Arial" w:eastAsia="Times New Roman" w:hAnsi="Arial" w:cs="Arial"/>
          <w:sz w:val="22"/>
          <w:szCs w:val="22"/>
        </w:rPr>
        <w:t>Charter</w:t>
      </w:r>
      <w:r w:rsidRPr="009E3CCF">
        <w:rPr>
          <w:rFonts w:ascii="Arial" w:eastAsia="Times New Roman" w:hAnsi="Arial" w:cs="Arial"/>
          <w:sz w:val="22"/>
          <w:szCs w:val="22"/>
        </w:rPr>
        <w:t>. In view of the fact that the first three questions asked by the referring court seek to determine the level of protection afforded consumers and the judicial remedies available to the latter, that article should be included amongst the European Union legal instruments which the referring court seeks to have interpreted by the Court.</w:t>
      </w:r>
    </w:p>
    <w:p w14:paraId="5D2AC53C" w14:textId="77777777" w:rsidR="00D7718C" w:rsidRPr="00113C90" w:rsidRDefault="00D7718C" w:rsidP="00113C90">
      <w:pPr>
        <w:pStyle w:val="c02alineaalta"/>
        <w:spacing w:before="0" w:beforeAutospacing="0" w:after="0" w:afterAutospacing="0"/>
        <w:rPr>
          <w:rFonts w:ascii="Arial" w:hAnsi="Arial" w:cs="Arial"/>
          <w:bCs/>
          <w:i/>
          <w:sz w:val="24"/>
          <w:szCs w:val="24"/>
        </w:rPr>
      </w:pPr>
    </w:p>
    <w:p w14:paraId="22584233" w14:textId="61E77A1E" w:rsidR="00151A08" w:rsidRDefault="00151A08" w:rsidP="00113C90">
      <w:pPr>
        <w:pStyle w:val="c02alineaalta"/>
        <w:spacing w:before="0" w:beforeAutospacing="0" w:after="0" w:afterAutospacing="0"/>
        <w:rPr>
          <w:rFonts w:ascii="Arial" w:hAnsi="Arial" w:cs="Arial"/>
          <w:bCs/>
          <w:sz w:val="24"/>
          <w:szCs w:val="24"/>
        </w:rPr>
      </w:pPr>
      <w:r w:rsidRPr="00113C90">
        <w:rPr>
          <w:rFonts w:ascii="Arial" w:hAnsi="Arial" w:cs="Arial"/>
          <w:bCs/>
          <w:sz w:val="24"/>
          <w:szCs w:val="24"/>
        </w:rPr>
        <w:t xml:space="preserve">The CJEU then went on to consider Articles of the </w:t>
      </w:r>
      <w:r w:rsidR="00D7718C">
        <w:rPr>
          <w:rFonts w:ascii="Arial" w:hAnsi="Arial" w:cs="Arial"/>
          <w:bCs/>
          <w:sz w:val="24"/>
          <w:szCs w:val="24"/>
        </w:rPr>
        <w:t>Charter</w:t>
      </w:r>
      <w:r w:rsidRPr="00113C90">
        <w:rPr>
          <w:rFonts w:ascii="Arial" w:hAnsi="Arial" w:cs="Arial"/>
          <w:bCs/>
          <w:sz w:val="24"/>
          <w:szCs w:val="24"/>
        </w:rPr>
        <w:t xml:space="preserve"> in the implementation of the UCTD by Slovakia.</w:t>
      </w:r>
    </w:p>
    <w:p w14:paraId="686AFFB3" w14:textId="77777777" w:rsidR="00D7718C" w:rsidRPr="00113C90" w:rsidRDefault="00D7718C" w:rsidP="00113C90">
      <w:pPr>
        <w:pStyle w:val="c02alineaalta"/>
        <w:spacing w:before="0" w:beforeAutospacing="0" w:after="0" w:afterAutospacing="0"/>
        <w:rPr>
          <w:rFonts w:ascii="Arial" w:hAnsi="Arial" w:cs="Arial"/>
          <w:bCs/>
          <w:i/>
          <w:sz w:val="24"/>
          <w:szCs w:val="24"/>
        </w:rPr>
      </w:pPr>
    </w:p>
    <w:p w14:paraId="2EF07226" w14:textId="57060283" w:rsidR="00151A08" w:rsidRPr="009E3CCF" w:rsidRDefault="00151A08" w:rsidP="00D7718C">
      <w:pPr>
        <w:pStyle w:val="c02alineaalta"/>
        <w:spacing w:before="0" w:beforeAutospacing="0" w:after="0" w:afterAutospacing="0"/>
        <w:ind w:left="720"/>
        <w:rPr>
          <w:rFonts w:ascii="Arial" w:eastAsia="Times New Roman" w:hAnsi="Arial" w:cs="Arial"/>
          <w:sz w:val="22"/>
          <w:szCs w:val="22"/>
        </w:rPr>
      </w:pPr>
      <w:r w:rsidRPr="009E3CCF">
        <w:rPr>
          <w:rFonts w:ascii="Arial" w:hAnsi="Arial" w:cs="Arial"/>
          <w:bCs/>
          <w:sz w:val="22"/>
          <w:szCs w:val="22"/>
        </w:rPr>
        <w:t xml:space="preserve">Para 47. </w:t>
      </w:r>
      <w:r w:rsidRPr="009E3CCF">
        <w:rPr>
          <w:rFonts w:ascii="Arial" w:eastAsia="Times New Roman" w:hAnsi="Arial" w:cs="Arial"/>
          <w:sz w:val="22"/>
          <w:szCs w:val="22"/>
        </w:rPr>
        <w:t xml:space="preserve"> It should be noted, first, that Article 38 of the </w:t>
      </w:r>
      <w:r w:rsidR="00160C04" w:rsidRPr="009E3CCF">
        <w:rPr>
          <w:rFonts w:ascii="Arial" w:eastAsia="Times New Roman" w:hAnsi="Arial" w:cs="Arial"/>
          <w:sz w:val="22"/>
          <w:szCs w:val="22"/>
        </w:rPr>
        <w:t>Charter</w:t>
      </w:r>
      <w:r w:rsidRPr="009E3CCF">
        <w:rPr>
          <w:rFonts w:ascii="Arial" w:eastAsia="Times New Roman" w:hAnsi="Arial" w:cs="Arial"/>
          <w:sz w:val="22"/>
          <w:szCs w:val="22"/>
        </w:rPr>
        <w:t xml:space="preserve"> provides that European Union policies must ensure a high level of consumer protection. Article 47 of the </w:t>
      </w:r>
      <w:r w:rsidR="00160C04" w:rsidRPr="009E3CCF">
        <w:rPr>
          <w:rFonts w:ascii="Arial" w:eastAsia="Times New Roman" w:hAnsi="Arial" w:cs="Arial"/>
          <w:sz w:val="22"/>
          <w:szCs w:val="22"/>
        </w:rPr>
        <w:t>Charter</w:t>
      </w:r>
      <w:r w:rsidRPr="009E3CCF">
        <w:rPr>
          <w:rFonts w:ascii="Arial" w:eastAsia="Times New Roman" w:hAnsi="Arial" w:cs="Arial"/>
          <w:sz w:val="22"/>
          <w:szCs w:val="22"/>
        </w:rPr>
        <w:t xml:space="preserve"> concerns the right to an effective judicial remedy. Those mandatory requirements are applicable to the implementation of Directive 93/13 (see, to that effect, the judgment in </w:t>
      </w:r>
      <w:r w:rsidRPr="009E3CCF">
        <w:rPr>
          <w:rFonts w:ascii="Arial" w:eastAsia="Times New Roman" w:hAnsi="Arial" w:cs="Arial"/>
          <w:iCs/>
          <w:sz w:val="22"/>
          <w:szCs w:val="22"/>
        </w:rPr>
        <w:t>Pohotovosť</w:t>
      </w:r>
      <w:r w:rsidRPr="009E3CCF">
        <w:rPr>
          <w:rFonts w:ascii="Arial" w:eastAsia="Times New Roman" w:hAnsi="Arial" w:cs="Arial"/>
          <w:sz w:val="22"/>
          <w:szCs w:val="22"/>
        </w:rPr>
        <w:t>, EU:C:2014:101, paragraph 52).</w:t>
      </w:r>
    </w:p>
    <w:p w14:paraId="6BE060B9" w14:textId="77777777" w:rsidR="00D7718C" w:rsidRPr="00113C90" w:rsidRDefault="00D7718C" w:rsidP="00113C90">
      <w:pPr>
        <w:pStyle w:val="c02alineaalta"/>
        <w:spacing w:before="0" w:beforeAutospacing="0" w:after="0" w:afterAutospacing="0"/>
        <w:rPr>
          <w:rFonts w:ascii="Arial" w:eastAsia="Times New Roman" w:hAnsi="Arial" w:cs="Arial"/>
          <w:i/>
          <w:sz w:val="24"/>
          <w:szCs w:val="24"/>
        </w:rPr>
      </w:pPr>
    </w:p>
    <w:p w14:paraId="5957EA8E" w14:textId="1E37CFDD" w:rsidR="00151A08" w:rsidRDefault="00151A08" w:rsidP="00113C90">
      <w:pPr>
        <w:pStyle w:val="c02alineaalta"/>
        <w:spacing w:before="0" w:beforeAutospacing="0" w:after="0" w:afterAutospacing="0"/>
        <w:rPr>
          <w:rFonts w:ascii="Arial" w:hAnsi="Arial" w:cs="Arial"/>
          <w:bCs/>
          <w:sz w:val="24"/>
          <w:szCs w:val="24"/>
        </w:rPr>
      </w:pPr>
      <w:r w:rsidRPr="00113C90">
        <w:rPr>
          <w:rFonts w:ascii="Arial" w:hAnsi="Arial" w:cs="Arial"/>
          <w:bCs/>
          <w:sz w:val="24"/>
          <w:szCs w:val="24"/>
        </w:rPr>
        <w:t xml:space="preserve">The CJEU went on to add in Article 7 </w:t>
      </w:r>
      <w:r w:rsidR="00160C04">
        <w:rPr>
          <w:rFonts w:ascii="Arial" w:hAnsi="Arial" w:cs="Arial"/>
          <w:bCs/>
          <w:sz w:val="24"/>
          <w:szCs w:val="24"/>
        </w:rPr>
        <w:t>C</w:t>
      </w:r>
      <w:r w:rsidR="00387FED">
        <w:rPr>
          <w:rFonts w:ascii="Arial" w:hAnsi="Arial" w:cs="Arial"/>
          <w:bCs/>
          <w:sz w:val="24"/>
          <w:szCs w:val="24"/>
        </w:rPr>
        <w:t>harter</w:t>
      </w:r>
      <w:r w:rsidRPr="00113C90">
        <w:rPr>
          <w:rFonts w:ascii="Arial" w:hAnsi="Arial" w:cs="Arial"/>
          <w:bCs/>
          <w:sz w:val="24"/>
          <w:szCs w:val="24"/>
        </w:rPr>
        <w:t xml:space="preserve"> into the consideration of how the UCTD was implemented.</w:t>
      </w:r>
    </w:p>
    <w:p w14:paraId="19EB8C3A" w14:textId="77777777" w:rsidR="00D7718C" w:rsidRPr="00113C90" w:rsidRDefault="00D7718C" w:rsidP="00113C90">
      <w:pPr>
        <w:pStyle w:val="c02alineaalta"/>
        <w:spacing w:before="0" w:beforeAutospacing="0" w:after="0" w:afterAutospacing="0"/>
        <w:rPr>
          <w:rFonts w:ascii="Arial" w:hAnsi="Arial" w:cs="Arial"/>
          <w:bCs/>
          <w:sz w:val="24"/>
          <w:szCs w:val="24"/>
        </w:rPr>
      </w:pPr>
    </w:p>
    <w:p w14:paraId="1CCE1FC2" w14:textId="77777777" w:rsidR="00151A08" w:rsidRPr="009E3CCF" w:rsidRDefault="00151A08" w:rsidP="00D7718C">
      <w:pPr>
        <w:pStyle w:val="c01pointnumerotealtn"/>
        <w:spacing w:before="0" w:beforeAutospacing="0" w:after="0" w:afterAutospacing="0"/>
        <w:ind w:left="720"/>
        <w:rPr>
          <w:rFonts w:ascii="Arial" w:hAnsi="Arial" w:cs="Arial"/>
          <w:sz w:val="22"/>
          <w:szCs w:val="22"/>
        </w:rPr>
      </w:pPr>
      <w:r w:rsidRPr="009E3CCF">
        <w:rPr>
          <w:rFonts w:ascii="Arial" w:hAnsi="Arial" w:cs="Arial"/>
          <w:sz w:val="22"/>
          <w:szCs w:val="22"/>
        </w:rPr>
        <w:t xml:space="preserve">Para 63. The loss of a family home is not only such as to seriously undermine consumer rights (the judgment in </w:t>
      </w:r>
      <w:r w:rsidRPr="009E3CCF">
        <w:rPr>
          <w:rFonts w:ascii="Arial" w:hAnsi="Arial" w:cs="Arial"/>
          <w:iCs/>
          <w:sz w:val="22"/>
          <w:szCs w:val="22"/>
        </w:rPr>
        <w:t>Aziz</w:t>
      </w:r>
      <w:r w:rsidRPr="009E3CCF">
        <w:rPr>
          <w:rFonts w:ascii="Arial" w:hAnsi="Arial" w:cs="Arial"/>
          <w:sz w:val="22"/>
          <w:szCs w:val="22"/>
        </w:rPr>
        <w:t xml:space="preserve">, EU:C:2013:164, paragraph 61), but it also places the family of the consumer concerned in a particularly vulnerable position (see, to that effect, the Order of the President of the Court in </w:t>
      </w:r>
      <w:r w:rsidRPr="009E3CCF">
        <w:rPr>
          <w:rFonts w:ascii="Arial" w:hAnsi="Arial" w:cs="Arial"/>
          <w:iCs/>
          <w:sz w:val="22"/>
          <w:szCs w:val="22"/>
        </w:rPr>
        <w:t>Sánchez Morcillo and Abril García</w:t>
      </w:r>
      <w:r w:rsidRPr="009E3CCF">
        <w:rPr>
          <w:rFonts w:ascii="Arial" w:hAnsi="Arial" w:cs="Arial"/>
          <w:sz w:val="22"/>
          <w:szCs w:val="22"/>
        </w:rPr>
        <w:t>, EU:C:2014:1388, paragraph 11).</w:t>
      </w:r>
    </w:p>
    <w:p w14:paraId="7C6F39A6" w14:textId="77777777" w:rsidR="00D7718C" w:rsidRPr="009E3CCF" w:rsidRDefault="00D7718C" w:rsidP="00113C90">
      <w:pPr>
        <w:pStyle w:val="c01pointnumerotealtn"/>
        <w:spacing w:before="0" w:beforeAutospacing="0" w:after="0" w:afterAutospacing="0"/>
        <w:rPr>
          <w:rFonts w:ascii="Arial" w:hAnsi="Arial" w:cs="Arial"/>
          <w:sz w:val="22"/>
          <w:szCs w:val="22"/>
        </w:rPr>
      </w:pPr>
    </w:p>
    <w:p w14:paraId="2AA5049C" w14:textId="77777777" w:rsidR="00151A08" w:rsidRPr="009E3CCF" w:rsidRDefault="00151A08" w:rsidP="00D7718C">
      <w:pPr>
        <w:pStyle w:val="c01pointnumerotealtn"/>
        <w:spacing w:before="0" w:beforeAutospacing="0" w:after="0" w:afterAutospacing="0"/>
        <w:ind w:left="720"/>
        <w:rPr>
          <w:rFonts w:ascii="Arial" w:hAnsi="Arial" w:cs="Arial"/>
          <w:sz w:val="22"/>
          <w:szCs w:val="22"/>
        </w:rPr>
      </w:pPr>
      <w:bookmarkStart w:id="2" w:name="point64"/>
      <w:r w:rsidRPr="009E3CCF">
        <w:rPr>
          <w:rFonts w:ascii="Arial" w:hAnsi="Arial" w:cs="Arial"/>
          <w:sz w:val="22"/>
          <w:szCs w:val="22"/>
        </w:rPr>
        <w:t>Para 64</w:t>
      </w:r>
      <w:bookmarkEnd w:id="2"/>
      <w:r w:rsidRPr="009E3CCF">
        <w:rPr>
          <w:rFonts w:ascii="Arial" w:hAnsi="Arial" w:cs="Arial"/>
          <w:sz w:val="22"/>
          <w:szCs w:val="22"/>
        </w:rPr>
        <w:t xml:space="preserve">. In that regard, the European Court of Human Rights has held, first, that the loss of a home is one of the most serious breaches of the right to respect for the home and, secondly, that any person who risks being the victim of such a breach should be able to have the proportionality of such a measure reviewed (see the judgments of the European Court of Human Rights in </w:t>
      </w:r>
      <w:r w:rsidRPr="009E3CCF">
        <w:rPr>
          <w:rFonts w:ascii="Arial" w:hAnsi="Arial" w:cs="Arial"/>
          <w:iCs/>
          <w:sz w:val="22"/>
          <w:szCs w:val="22"/>
        </w:rPr>
        <w:t>McCann</w:t>
      </w:r>
      <w:r w:rsidRPr="009E3CCF">
        <w:rPr>
          <w:rFonts w:ascii="Arial" w:hAnsi="Arial" w:cs="Arial"/>
          <w:sz w:val="22"/>
          <w:szCs w:val="22"/>
        </w:rPr>
        <w:t xml:space="preserve"> v </w:t>
      </w:r>
      <w:r w:rsidRPr="009E3CCF">
        <w:rPr>
          <w:rFonts w:ascii="Arial" w:hAnsi="Arial" w:cs="Arial"/>
          <w:iCs/>
          <w:sz w:val="22"/>
          <w:szCs w:val="22"/>
        </w:rPr>
        <w:t>United Kingdom</w:t>
      </w:r>
      <w:r w:rsidRPr="009E3CCF">
        <w:rPr>
          <w:rFonts w:ascii="Arial" w:hAnsi="Arial" w:cs="Arial"/>
          <w:sz w:val="22"/>
          <w:szCs w:val="22"/>
        </w:rPr>
        <w:t xml:space="preserve">, application No 19009/04, paragraph 50, ECHR 2008, and </w:t>
      </w:r>
      <w:r w:rsidRPr="009E3CCF">
        <w:rPr>
          <w:rFonts w:ascii="Arial" w:hAnsi="Arial" w:cs="Arial"/>
          <w:iCs/>
          <w:sz w:val="22"/>
          <w:szCs w:val="22"/>
        </w:rPr>
        <w:t>Rousk</w:t>
      </w:r>
      <w:r w:rsidRPr="009E3CCF">
        <w:rPr>
          <w:rFonts w:ascii="Arial" w:hAnsi="Arial" w:cs="Arial"/>
          <w:sz w:val="22"/>
          <w:szCs w:val="22"/>
        </w:rPr>
        <w:t xml:space="preserve"> v </w:t>
      </w:r>
      <w:r w:rsidRPr="009E3CCF">
        <w:rPr>
          <w:rFonts w:ascii="Arial" w:hAnsi="Arial" w:cs="Arial"/>
          <w:iCs/>
          <w:sz w:val="22"/>
          <w:szCs w:val="22"/>
        </w:rPr>
        <w:t>Sweden</w:t>
      </w:r>
      <w:r w:rsidRPr="009E3CCF">
        <w:rPr>
          <w:rFonts w:ascii="Arial" w:hAnsi="Arial" w:cs="Arial"/>
          <w:sz w:val="22"/>
          <w:szCs w:val="22"/>
        </w:rPr>
        <w:t>, application No 27183/04, paragraph 137).</w:t>
      </w:r>
    </w:p>
    <w:p w14:paraId="5203986E" w14:textId="77777777" w:rsidR="00D7718C" w:rsidRPr="009E3CCF" w:rsidRDefault="00D7718C" w:rsidP="00D7718C">
      <w:pPr>
        <w:pStyle w:val="c01pointnumerotealtn"/>
        <w:spacing w:before="0" w:beforeAutospacing="0" w:after="0" w:afterAutospacing="0"/>
        <w:ind w:left="720"/>
        <w:rPr>
          <w:rFonts w:ascii="Arial" w:hAnsi="Arial" w:cs="Arial"/>
          <w:sz w:val="22"/>
          <w:szCs w:val="22"/>
        </w:rPr>
      </w:pPr>
    </w:p>
    <w:p w14:paraId="17AE91D1" w14:textId="6783E69E" w:rsidR="00151A08" w:rsidRPr="009E3CCF" w:rsidRDefault="00151A08" w:rsidP="00D7718C">
      <w:pPr>
        <w:pStyle w:val="c01pointnumerotealtn"/>
        <w:spacing w:before="0" w:beforeAutospacing="0" w:after="0" w:afterAutospacing="0"/>
        <w:ind w:left="720"/>
        <w:rPr>
          <w:rFonts w:ascii="Arial" w:hAnsi="Arial" w:cs="Arial"/>
          <w:sz w:val="22"/>
          <w:szCs w:val="22"/>
        </w:rPr>
      </w:pPr>
      <w:bookmarkStart w:id="3" w:name="point65"/>
      <w:r w:rsidRPr="009E3CCF">
        <w:rPr>
          <w:rFonts w:ascii="Arial" w:hAnsi="Arial" w:cs="Arial"/>
          <w:sz w:val="22"/>
          <w:szCs w:val="22"/>
        </w:rPr>
        <w:t>Para 65</w:t>
      </w:r>
      <w:bookmarkEnd w:id="3"/>
      <w:r w:rsidRPr="009E3CCF">
        <w:rPr>
          <w:rFonts w:ascii="Arial" w:hAnsi="Arial" w:cs="Arial"/>
          <w:sz w:val="22"/>
          <w:szCs w:val="22"/>
        </w:rPr>
        <w:t xml:space="preserve">. Under EU law, the right to accommodation is a fundamental right guaranteed under Article 7 of the </w:t>
      </w:r>
      <w:r w:rsidR="00160C04" w:rsidRPr="009E3CCF">
        <w:rPr>
          <w:rFonts w:ascii="Arial" w:hAnsi="Arial" w:cs="Arial"/>
          <w:sz w:val="22"/>
          <w:szCs w:val="22"/>
        </w:rPr>
        <w:t>Charter</w:t>
      </w:r>
      <w:r w:rsidRPr="009E3CCF">
        <w:rPr>
          <w:rFonts w:ascii="Arial" w:hAnsi="Arial" w:cs="Arial"/>
          <w:sz w:val="22"/>
          <w:szCs w:val="22"/>
        </w:rPr>
        <w:t xml:space="preserve"> that the referring court must take into consideration when implementing Directive 93/13.</w:t>
      </w:r>
    </w:p>
    <w:p w14:paraId="6EFB8901" w14:textId="77777777" w:rsidR="00D7718C" w:rsidRPr="009E3CCF" w:rsidRDefault="00D7718C" w:rsidP="00D7718C">
      <w:pPr>
        <w:pStyle w:val="c01pointnumerotealtn"/>
        <w:spacing w:before="0" w:beforeAutospacing="0" w:after="0" w:afterAutospacing="0"/>
        <w:ind w:left="720"/>
        <w:rPr>
          <w:rFonts w:ascii="Arial" w:hAnsi="Arial" w:cs="Arial"/>
          <w:sz w:val="22"/>
          <w:szCs w:val="22"/>
        </w:rPr>
      </w:pPr>
    </w:p>
    <w:p w14:paraId="1F1CBACC" w14:textId="77777777" w:rsidR="00151A08" w:rsidRPr="009E3CCF" w:rsidRDefault="00151A08" w:rsidP="00D7718C">
      <w:pPr>
        <w:pStyle w:val="c01pointnumerotealtn"/>
        <w:spacing w:before="0" w:beforeAutospacing="0" w:after="0" w:afterAutospacing="0"/>
        <w:ind w:left="720"/>
        <w:rPr>
          <w:rFonts w:ascii="Arial" w:hAnsi="Arial" w:cs="Arial"/>
          <w:sz w:val="22"/>
          <w:szCs w:val="22"/>
        </w:rPr>
      </w:pPr>
      <w:bookmarkStart w:id="4" w:name="point66"/>
      <w:r w:rsidRPr="009E3CCF">
        <w:rPr>
          <w:rFonts w:ascii="Arial" w:hAnsi="Arial" w:cs="Arial"/>
          <w:sz w:val="22"/>
          <w:szCs w:val="22"/>
        </w:rPr>
        <w:t>Para 66</w:t>
      </w:r>
      <w:bookmarkEnd w:id="4"/>
      <w:r w:rsidRPr="009E3CCF">
        <w:rPr>
          <w:rFonts w:ascii="Arial" w:hAnsi="Arial" w:cs="Arial"/>
          <w:sz w:val="22"/>
          <w:szCs w:val="22"/>
        </w:rPr>
        <w:t xml:space="preserve">.  With regard in particular to the consequences of the eviction of the consumer and his family from the accommodation forming their principal family home, the Court has already emphasised the importance, for the national court, to provide for interim measures by which unlawful mortgage enforcement proceedings may be suspended or terminated where the grant of such measures proves necessary in order to ensure the effectiveness of the protection intended by Directive 93/13 (see, to that effect, the judgment in </w:t>
      </w:r>
      <w:r w:rsidRPr="009E3CCF">
        <w:rPr>
          <w:rFonts w:ascii="Arial" w:hAnsi="Arial" w:cs="Arial"/>
          <w:iCs/>
          <w:sz w:val="22"/>
          <w:szCs w:val="22"/>
        </w:rPr>
        <w:t>Aziz</w:t>
      </w:r>
      <w:r w:rsidRPr="009E3CCF">
        <w:rPr>
          <w:rFonts w:ascii="Arial" w:hAnsi="Arial" w:cs="Arial"/>
          <w:sz w:val="22"/>
          <w:szCs w:val="22"/>
        </w:rPr>
        <w:t>, EU:C:2013:164, paragraph 59).</w:t>
      </w:r>
    </w:p>
    <w:p w14:paraId="42C3CB6C" w14:textId="77777777" w:rsidR="00D7718C" w:rsidRPr="00113C90" w:rsidRDefault="00D7718C" w:rsidP="00113C90">
      <w:pPr>
        <w:pStyle w:val="c01pointnumerotealtn"/>
        <w:spacing w:before="0" w:beforeAutospacing="0" w:after="0" w:afterAutospacing="0"/>
        <w:rPr>
          <w:rFonts w:ascii="Arial" w:hAnsi="Arial" w:cs="Arial"/>
          <w:i/>
          <w:sz w:val="24"/>
          <w:szCs w:val="24"/>
        </w:rPr>
      </w:pPr>
    </w:p>
    <w:p w14:paraId="4FDFE83A" w14:textId="0794E073" w:rsidR="00037BFE" w:rsidRPr="00037BFE" w:rsidRDefault="00037BFE" w:rsidP="00113C90">
      <w:pPr>
        <w:pStyle w:val="c02alineaalta"/>
        <w:spacing w:before="0" w:beforeAutospacing="0" w:after="0" w:afterAutospacing="0"/>
        <w:rPr>
          <w:rFonts w:ascii="Arial" w:hAnsi="Arial" w:cs="Arial"/>
          <w:i/>
          <w:sz w:val="24"/>
          <w:szCs w:val="24"/>
          <w:u w:val="single"/>
        </w:rPr>
      </w:pPr>
      <w:r w:rsidRPr="00037BFE">
        <w:rPr>
          <w:rFonts w:ascii="Arial" w:hAnsi="Arial" w:cs="Arial"/>
          <w:i/>
          <w:sz w:val="24"/>
          <w:szCs w:val="24"/>
          <w:u w:val="single"/>
        </w:rPr>
        <w:t>‘Proportionality’</w:t>
      </w:r>
    </w:p>
    <w:p w14:paraId="418886D5" w14:textId="77777777" w:rsidR="00037BFE" w:rsidRDefault="00037BFE" w:rsidP="00113C90">
      <w:pPr>
        <w:pStyle w:val="c02alineaalta"/>
        <w:spacing w:before="0" w:beforeAutospacing="0" w:after="0" w:afterAutospacing="0"/>
        <w:rPr>
          <w:rFonts w:ascii="Arial" w:hAnsi="Arial" w:cs="Arial"/>
          <w:sz w:val="24"/>
          <w:szCs w:val="24"/>
        </w:rPr>
      </w:pPr>
    </w:p>
    <w:p w14:paraId="2C36DC9B" w14:textId="0CB5F0C9" w:rsidR="00151A08" w:rsidRDefault="00151A08" w:rsidP="00113C90">
      <w:pPr>
        <w:pStyle w:val="c02alineaalta"/>
        <w:spacing w:before="0" w:beforeAutospacing="0" w:after="0" w:afterAutospacing="0"/>
        <w:rPr>
          <w:rFonts w:ascii="Arial" w:hAnsi="Arial" w:cs="Arial"/>
          <w:sz w:val="24"/>
          <w:szCs w:val="24"/>
        </w:rPr>
      </w:pPr>
      <w:r w:rsidRPr="00113C90">
        <w:rPr>
          <w:rFonts w:ascii="Arial" w:hAnsi="Arial" w:cs="Arial"/>
          <w:sz w:val="24"/>
          <w:szCs w:val="24"/>
        </w:rPr>
        <w:t xml:space="preserve">Significantly, the CJEU called on the jurisprudence of the European Court of Human Rights in its interpretation of Article 7 </w:t>
      </w:r>
      <w:r w:rsidR="00D7718C">
        <w:rPr>
          <w:rFonts w:ascii="Arial" w:hAnsi="Arial" w:cs="Arial"/>
          <w:sz w:val="24"/>
          <w:szCs w:val="24"/>
        </w:rPr>
        <w:t>Charter</w:t>
      </w:r>
      <w:r w:rsidRPr="00113C90">
        <w:rPr>
          <w:rFonts w:ascii="Arial" w:hAnsi="Arial" w:cs="Arial"/>
          <w:sz w:val="24"/>
          <w:szCs w:val="24"/>
        </w:rPr>
        <w:t>, which actually mirrors Article 8 ECHR</w:t>
      </w:r>
      <w:r w:rsidR="0055759E">
        <w:rPr>
          <w:rFonts w:ascii="Arial" w:hAnsi="Arial" w:cs="Arial"/>
          <w:sz w:val="24"/>
          <w:szCs w:val="24"/>
        </w:rPr>
        <w:t xml:space="preserve"> – with its ‘proportionality test”</w:t>
      </w:r>
      <w:r w:rsidRPr="00113C90">
        <w:rPr>
          <w:rFonts w:ascii="Arial" w:hAnsi="Arial" w:cs="Arial"/>
          <w:sz w:val="24"/>
          <w:szCs w:val="24"/>
        </w:rPr>
        <w:t>.</w:t>
      </w:r>
      <w:r w:rsidRPr="00113C90">
        <w:rPr>
          <w:rStyle w:val="FootnoteReference"/>
          <w:rFonts w:ascii="Arial" w:hAnsi="Arial" w:cs="Arial"/>
          <w:sz w:val="24"/>
          <w:szCs w:val="24"/>
        </w:rPr>
        <w:footnoteReference w:id="82"/>
      </w:r>
      <w:r w:rsidRPr="00113C90">
        <w:rPr>
          <w:rFonts w:ascii="Arial" w:hAnsi="Arial" w:cs="Arial"/>
          <w:sz w:val="24"/>
          <w:szCs w:val="24"/>
        </w:rPr>
        <w:t xml:space="preserve"> This brings those ECHR procedural protections on right to respect for home as set out in a range of cases, into the interpretation of the obligations arising from Article 7 </w:t>
      </w:r>
      <w:r w:rsidR="00D7718C">
        <w:rPr>
          <w:rFonts w:ascii="Arial" w:hAnsi="Arial" w:cs="Arial"/>
          <w:sz w:val="24"/>
          <w:szCs w:val="24"/>
        </w:rPr>
        <w:t>Charter</w:t>
      </w:r>
      <w:r w:rsidR="0055759E">
        <w:rPr>
          <w:rFonts w:ascii="Arial" w:hAnsi="Arial" w:cs="Arial"/>
          <w:sz w:val="24"/>
          <w:szCs w:val="24"/>
        </w:rPr>
        <w:t xml:space="preserve"> </w:t>
      </w:r>
      <w:r w:rsidRPr="00113C90">
        <w:rPr>
          <w:rFonts w:ascii="Arial" w:hAnsi="Arial" w:cs="Arial"/>
          <w:sz w:val="24"/>
          <w:szCs w:val="24"/>
        </w:rPr>
        <w:t xml:space="preserve">in the application of the UCTD. In fact, the reference to </w:t>
      </w:r>
      <w:r w:rsidRPr="00113C90">
        <w:rPr>
          <w:rFonts w:ascii="Arial" w:hAnsi="Arial" w:cs="Arial"/>
          <w:i/>
          <w:sz w:val="24"/>
          <w:szCs w:val="24"/>
        </w:rPr>
        <w:t>McCann v UK</w:t>
      </w:r>
      <w:r w:rsidR="00355546">
        <w:rPr>
          <w:rFonts w:ascii="Arial" w:hAnsi="Arial" w:cs="Arial"/>
          <w:sz w:val="24"/>
          <w:szCs w:val="24"/>
        </w:rPr>
        <w:t xml:space="preserve"> at</w:t>
      </w:r>
      <w:r w:rsidRPr="00113C90">
        <w:rPr>
          <w:rFonts w:ascii="Arial" w:hAnsi="Arial" w:cs="Arial"/>
          <w:sz w:val="24"/>
          <w:szCs w:val="24"/>
        </w:rPr>
        <w:t xml:space="preserve"> Para 64 established a very clear set of obligations in relation </w:t>
      </w:r>
      <w:r w:rsidR="0055759E">
        <w:rPr>
          <w:rFonts w:ascii="Arial" w:hAnsi="Arial" w:cs="Arial"/>
          <w:sz w:val="24"/>
          <w:szCs w:val="24"/>
        </w:rPr>
        <w:t xml:space="preserve">to the “proportionality” of </w:t>
      </w:r>
      <w:r w:rsidRPr="00113C90">
        <w:rPr>
          <w:rFonts w:ascii="Arial" w:hAnsi="Arial" w:cs="Arial"/>
          <w:sz w:val="24"/>
          <w:szCs w:val="24"/>
        </w:rPr>
        <w:t>home repossessions:</w:t>
      </w:r>
    </w:p>
    <w:p w14:paraId="11B9EA0D" w14:textId="77777777" w:rsidR="00D7718C" w:rsidRPr="00113C90" w:rsidRDefault="00D7718C" w:rsidP="00113C90">
      <w:pPr>
        <w:pStyle w:val="c02alineaalta"/>
        <w:spacing w:before="0" w:beforeAutospacing="0" w:after="0" w:afterAutospacing="0"/>
        <w:rPr>
          <w:rFonts w:ascii="Arial" w:hAnsi="Arial" w:cs="Arial"/>
          <w:sz w:val="24"/>
          <w:szCs w:val="24"/>
        </w:rPr>
      </w:pPr>
    </w:p>
    <w:p w14:paraId="4FB9FE80" w14:textId="637A01DE" w:rsidR="00151A08" w:rsidRPr="001D4A56" w:rsidRDefault="00151A08" w:rsidP="00D7718C">
      <w:pPr>
        <w:widowControl w:val="0"/>
        <w:autoSpaceDE w:val="0"/>
        <w:autoSpaceDN w:val="0"/>
        <w:adjustRightInd w:val="0"/>
        <w:spacing w:after="0" w:line="240" w:lineRule="auto"/>
        <w:ind w:left="720"/>
        <w:jc w:val="both"/>
        <w:rPr>
          <w:rFonts w:ascii="Arial" w:hAnsi="Arial" w:cs="Arial"/>
        </w:rPr>
      </w:pPr>
      <w:r w:rsidRPr="001D4A56">
        <w:rPr>
          <w:rFonts w:ascii="Arial" w:hAnsi="Arial" w:cs="Arial"/>
        </w:rPr>
        <w:t>The loss of one’s home is a most extreme form of interference with the right to respect for the home. Any person at risk of an interference of this magnitude should in principle be able to have the proportionality of the measure determined by an independent tribunal in the light of the relevant principles under Article 8 of the Convention, notwithstanding that, under domestic law, his right of occupation has come to an end.</w:t>
      </w:r>
      <w:r w:rsidRPr="001D4A56">
        <w:rPr>
          <w:rStyle w:val="FootnoteReference"/>
          <w:rFonts w:ascii="Arial" w:hAnsi="Arial" w:cs="Arial"/>
        </w:rPr>
        <w:footnoteReference w:id="83"/>
      </w:r>
    </w:p>
    <w:p w14:paraId="2D654653" w14:textId="77777777" w:rsidR="00151A08" w:rsidRDefault="00151A08" w:rsidP="00113C90">
      <w:pPr>
        <w:pStyle w:val="c02alineaalta"/>
        <w:spacing w:before="0" w:beforeAutospacing="0" w:after="0" w:afterAutospacing="0"/>
        <w:rPr>
          <w:rFonts w:ascii="Arial" w:hAnsi="Arial" w:cs="Arial"/>
          <w:sz w:val="24"/>
          <w:szCs w:val="24"/>
        </w:rPr>
      </w:pPr>
    </w:p>
    <w:p w14:paraId="484DBC50" w14:textId="4AF2AC22" w:rsidR="006B23DD" w:rsidRDefault="0055759E" w:rsidP="006B23DD">
      <w:pPr>
        <w:pStyle w:val="JuPara"/>
        <w:ind w:firstLine="0"/>
        <w:rPr>
          <w:rStyle w:val="sb8d990e2"/>
          <w:rFonts w:ascii="Arial" w:hAnsi="Arial" w:cs="Arial"/>
          <w:color w:val="000000" w:themeColor="text1"/>
          <w:szCs w:val="24"/>
        </w:rPr>
      </w:pPr>
      <w:r>
        <w:rPr>
          <w:rFonts w:ascii="Arial" w:hAnsi="Arial" w:cs="Arial"/>
          <w:szCs w:val="24"/>
        </w:rPr>
        <w:t>These ‘</w:t>
      </w:r>
      <w:r w:rsidRPr="00BC75A4">
        <w:rPr>
          <w:rFonts w:ascii="Arial" w:hAnsi="Arial" w:cs="Arial"/>
          <w:b/>
          <w:szCs w:val="24"/>
        </w:rPr>
        <w:t>proportionality’</w:t>
      </w:r>
      <w:r>
        <w:rPr>
          <w:rFonts w:ascii="Arial" w:hAnsi="Arial" w:cs="Arial"/>
          <w:szCs w:val="24"/>
        </w:rPr>
        <w:t xml:space="preserve"> </w:t>
      </w:r>
      <w:r w:rsidR="0072627A">
        <w:rPr>
          <w:rFonts w:ascii="Arial" w:hAnsi="Arial" w:cs="Arial"/>
          <w:szCs w:val="24"/>
        </w:rPr>
        <w:t xml:space="preserve">questions arising from Article 8ECHR </w:t>
      </w:r>
      <w:r>
        <w:rPr>
          <w:rFonts w:ascii="Arial" w:hAnsi="Arial" w:cs="Arial"/>
          <w:szCs w:val="24"/>
        </w:rPr>
        <w:t xml:space="preserve">issues were </w:t>
      </w:r>
      <w:r w:rsidRPr="00113C90">
        <w:rPr>
          <w:rFonts w:ascii="Arial" w:hAnsi="Arial" w:cs="Arial"/>
          <w:szCs w:val="24"/>
        </w:rPr>
        <w:t>more elaborately defined in</w:t>
      </w:r>
      <w:r w:rsidR="00ED4420">
        <w:rPr>
          <w:rFonts w:ascii="Arial" w:hAnsi="Arial" w:cs="Arial"/>
          <w:szCs w:val="24"/>
        </w:rPr>
        <w:t xml:space="preserve"> </w:t>
      </w:r>
      <w:r w:rsidRPr="00113C90">
        <w:rPr>
          <w:rFonts w:ascii="Arial" w:hAnsi="Arial" w:cs="Arial"/>
          <w:i/>
          <w:color w:val="000000" w:themeColor="text1"/>
          <w:szCs w:val="24"/>
        </w:rPr>
        <w:t>Yordanova and Others v Bulgaria</w:t>
      </w:r>
      <w:r w:rsidR="0072627A">
        <w:rPr>
          <w:rFonts w:ascii="Arial" w:hAnsi="Arial" w:cs="Arial"/>
          <w:i/>
          <w:color w:val="000000" w:themeColor="text1"/>
          <w:szCs w:val="24"/>
        </w:rPr>
        <w:t>.</w:t>
      </w:r>
      <w:r w:rsidRPr="00113C90">
        <w:rPr>
          <w:rStyle w:val="FootnoteReference"/>
          <w:rFonts w:ascii="Arial" w:hAnsi="Arial" w:cs="Arial"/>
          <w:color w:val="000000" w:themeColor="text1"/>
          <w:szCs w:val="24"/>
        </w:rPr>
        <w:footnoteReference w:id="84"/>
      </w:r>
      <w:r w:rsidRPr="00113C90">
        <w:rPr>
          <w:rFonts w:ascii="Arial" w:hAnsi="Arial" w:cs="Arial"/>
          <w:color w:val="000000" w:themeColor="text1"/>
          <w:szCs w:val="24"/>
        </w:rPr>
        <w:t xml:space="preserve"> </w:t>
      </w:r>
      <w:r w:rsidR="0072627A">
        <w:rPr>
          <w:rFonts w:ascii="Arial" w:hAnsi="Arial" w:cs="Arial"/>
          <w:color w:val="000000" w:themeColor="text1"/>
          <w:szCs w:val="24"/>
        </w:rPr>
        <w:t>In that case, the</w:t>
      </w:r>
      <w:r w:rsidRPr="00113C90">
        <w:rPr>
          <w:rFonts w:ascii="Arial" w:hAnsi="Arial" w:cs="Arial"/>
          <w:iCs/>
          <w:color w:val="000000" w:themeColor="text1"/>
          <w:szCs w:val="24"/>
        </w:rPr>
        <w:t xml:space="preserve"> ECtHR reiterated </w:t>
      </w:r>
      <w:r w:rsidRPr="00113C90">
        <w:rPr>
          <w:rFonts w:ascii="Arial" w:hAnsi="Arial" w:cs="Arial"/>
          <w:color w:val="000000" w:themeColor="text1"/>
          <w:szCs w:val="24"/>
        </w:rPr>
        <w:t xml:space="preserve">that </w:t>
      </w:r>
      <w:r w:rsidR="006B23DD">
        <w:rPr>
          <w:rFonts w:ascii="Arial" w:hAnsi="Arial" w:cs="Arial"/>
          <w:color w:val="000000" w:themeColor="text1"/>
          <w:szCs w:val="24"/>
        </w:rPr>
        <w:t xml:space="preserve">a </w:t>
      </w:r>
      <w:r w:rsidR="0072627A">
        <w:rPr>
          <w:rFonts w:ascii="Arial" w:hAnsi="Arial" w:cs="Arial"/>
          <w:color w:val="000000" w:themeColor="text1"/>
          <w:szCs w:val="24"/>
        </w:rPr>
        <w:t>national c</w:t>
      </w:r>
      <w:r w:rsidR="006B23DD">
        <w:rPr>
          <w:rFonts w:ascii="Arial" w:hAnsi="Arial" w:cs="Arial"/>
          <w:color w:val="000000" w:themeColor="text1"/>
          <w:szCs w:val="24"/>
        </w:rPr>
        <w:t>ourt must examine whether the interference with the ‘home’</w:t>
      </w:r>
      <w:r w:rsidR="0072627A">
        <w:rPr>
          <w:rFonts w:ascii="Arial" w:hAnsi="Arial" w:cs="Arial"/>
          <w:color w:val="000000" w:themeColor="text1"/>
          <w:szCs w:val="24"/>
        </w:rPr>
        <w:t>,</w:t>
      </w:r>
      <w:r w:rsidR="006B23DD">
        <w:rPr>
          <w:rFonts w:ascii="Arial" w:hAnsi="Arial" w:cs="Arial"/>
          <w:color w:val="000000" w:themeColor="text1"/>
          <w:szCs w:val="24"/>
        </w:rPr>
        <w:t xml:space="preserve"> if it materialises</w:t>
      </w:r>
      <w:r w:rsidR="0072627A">
        <w:rPr>
          <w:rFonts w:ascii="Arial" w:hAnsi="Arial" w:cs="Arial"/>
          <w:color w:val="000000" w:themeColor="text1"/>
          <w:szCs w:val="24"/>
        </w:rPr>
        <w:t>,</w:t>
      </w:r>
      <w:r w:rsidR="006B23DD">
        <w:rPr>
          <w:rFonts w:ascii="Arial" w:hAnsi="Arial" w:cs="Arial"/>
          <w:color w:val="000000" w:themeColor="text1"/>
          <w:szCs w:val="24"/>
        </w:rPr>
        <w:t xml:space="preserve"> would be lawful</w:t>
      </w:r>
      <w:r w:rsidR="0072627A">
        <w:rPr>
          <w:rFonts w:ascii="Arial" w:hAnsi="Arial" w:cs="Arial"/>
          <w:color w:val="000000" w:themeColor="text1"/>
          <w:szCs w:val="24"/>
        </w:rPr>
        <w:t>,</w:t>
      </w:r>
      <w:r w:rsidR="006B23DD">
        <w:rPr>
          <w:rFonts w:ascii="Arial" w:hAnsi="Arial" w:cs="Arial"/>
          <w:color w:val="000000" w:themeColor="text1"/>
          <w:szCs w:val="24"/>
        </w:rPr>
        <w:t xml:space="preserve"> and ‘necessary in a democratic society’ </w:t>
      </w:r>
      <w:r w:rsidR="0072627A">
        <w:rPr>
          <w:rFonts w:ascii="Arial" w:hAnsi="Arial" w:cs="Arial"/>
          <w:color w:val="000000" w:themeColor="text1"/>
          <w:szCs w:val="24"/>
        </w:rPr>
        <w:t xml:space="preserve">to meet the exceptions </w:t>
      </w:r>
      <w:r w:rsidR="006B23DD">
        <w:rPr>
          <w:rFonts w:ascii="Arial" w:hAnsi="Arial" w:cs="Arial"/>
          <w:color w:val="000000" w:themeColor="text1"/>
          <w:szCs w:val="24"/>
        </w:rPr>
        <w:t>of Article 8(2).</w:t>
      </w:r>
      <w:r w:rsidR="006B23DD">
        <w:rPr>
          <w:rStyle w:val="FootnoteReference"/>
          <w:rFonts w:ascii="Arial" w:hAnsi="Arial" w:cs="Arial"/>
          <w:color w:val="000000" w:themeColor="text1"/>
          <w:szCs w:val="24"/>
        </w:rPr>
        <w:footnoteReference w:id="85"/>
      </w:r>
      <w:r w:rsidR="006B23DD">
        <w:rPr>
          <w:rFonts w:ascii="Arial" w:hAnsi="Arial" w:cs="Arial"/>
          <w:color w:val="000000" w:themeColor="text1"/>
          <w:szCs w:val="24"/>
        </w:rPr>
        <w:t xml:space="preserve"> The first is whether </w:t>
      </w:r>
      <w:r w:rsidRPr="00113C90">
        <w:rPr>
          <w:rFonts w:ascii="Arial" w:hAnsi="Arial" w:cs="Arial"/>
          <w:color w:val="000000" w:themeColor="text1"/>
          <w:szCs w:val="24"/>
        </w:rPr>
        <w:t xml:space="preserve">interference with ‘home’ </w:t>
      </w:r>
      <w:r w:rsidR="006B23DD">
        <w:rPr>
          <w:rFonts w:ascii="Arial" w:hAnsi="Arial" w:cs="Arial"/>
          <w:color w:val="000000" w:themeColor="text1"/>
          <w:szCs w:val="24"/>
        </w:rPr>
        <w:t xml:space="preserve">pursues a legitimate aim. The next question is whether the interference </w:t>
      </w:r>
      <w:r w:rsidRPr="00113C90">
        <w:rPr>
          <w:rStyle w:val="sb8d990e2"/>
          <w:rFonts w:ascii="Arial" w:hAnsi="Arial" w:cs="Arial"/>
          <w:color w:val="000000" w:themeColor="text1"/>
          <w:szCs w:val="24"/>
        </w:rPr>
        <w:t>‘necessary in a democratic society</w:t>
      </w:r>
      <w:r w:rsidR="006B23DD">
        <w:rPr>
          <w:rStyle w:val="sb8d990e2"/>
          <w:rFonts w:ascii="Arial" w:hAnsi="Arial" w:cs="Arial"/>
          <w:color w:val="000000" w:themeColor="text1"/>
          <w:szCs w:val="24"/>
        </w:rPr>
        <w:t xml:space="preserve">’. </w:t>
      </w:r>
      <w:r w:rsidRPr="00113C90">
        <w:rPr>
          <w:rStyle w:val="sb8d990e2"/>
          <w:rFonts w:ascii="Arial" w:hAnsi="Arial" w:cs="Arial"/>
          <w:color w:val="000000" w:themeColor="text1"/>
          <w:szCs w:val="24"/>
        </w:rPr>
        <w:t xml:space="preserve"> </w:t>
      </w:r>
    </w:p>
    <w:p w14:paraId="0D5B25C9" w14:textId="77777777" w:rsidR="006B23DD" w:rsidRDefault="006B23DD" w:rsidP="006B23DD">
      <w:pPr>
        <w:pStyle w:val="JuPara"/>
        <w:ind w:firstLine="0"/>
        <w:rPr>
          <w:rStyle w:val="sb8d990e2"/>
          <w:rFonts w:ascii="Arial" w:hAnsi="Arial" w:cs="Arial"/>
          <w:color w:val="000000" w:themeColor="text1"/>
          <w:szCs w:val="24"/>
        </w:rPr>
      </w:pPr>
    </w:p>
    <w:p w14:paraId="7CC55314" w14:textId="19FBEDA5" w:rsidR="006B23DD" w:rsidRPr="006B23DD" w:rsidRDefault="006B23DD" w:rsidP="006B23DD">
      <w:pPr>
        <w:pStyle w:val="JuPara"/>
        <w:ind w:left="720" w:firstLine="0"/>
        <w:rPr>
          <w:rStyle w:val="sb8d990e2"/>
          <w:rFonts w:ascii="Arial" w:hAnsi="Arial" w:cs="Arial"/>
          <w:color w:val="000000" w:themeColor="text1"/>
          <w:sz w:val="22"/>
          <w:szCs w:val="22"/>
        </w:rPr>
      </w:pPr>
      <w:r w:rsidRPr="006B23DD">
        <w:rPr>
          <w:rFonts w:ascii="Arial" w:hAnsi="Arial" w:cs="Arial"/>
          <w:sz w:val="22"/>
          <w:szCs w:val="22"/>
        </w:rPr>
        <w:t xml:space="preserve">An interference will be considered “necessary in a democratic society” for a legitimate aim if it answers a </w:t>
      </w:r>
      <w:r w:rsidRPr="00640009">
        <w:rPr>
          <w:rFonts w:ascii="Arial" w:hAnsi="Arial" w:cs="Arial"/>
          <w:b/>
          <w:sz w:val="22"/>
          <w:szCs w:val="22"/>
        </w:rPr>
        <w:t>“pressing social need”</w:t>
      </w:r>
      <w:r w:rsidRPr="006B23DD">
        <w:rPr>
          <w:rFonts w:ascii="Arial" w:hAnsi="Arial" w:cs="Arial"/>
          <w:sz w:val="22"/>
          <w:szCs w:val="22"/>
        </w:rPr>
        <w:t xml:space="preserve"> and, in particular, </w:t>
      </w:r>
      <w:r w:rsidRPr="0072627A">
        <w:rPr>
          <w:rFonts w:ascii="Arial" w:hAnsi="Arial" w:cs="Arial"/>
          <w:b/>
          <w:sz w:val="22"/>
          <w:szCs w:val="22"/>
        </w:rPr>
        <w:t>if it is proportionate to the legitimate aim pursued.</w:t>
      </w:r>
      <w:r w:rsidRPr="006B23DD">
        <w:rPr>
          <w:rFonts w:ascii="Arial" w:hAnsi="Arial" w:cs="Arial"/>
          <w:sz w:val="22"/>
          <w:szCs w:val="22"/>
        </w:rPr>
        <w:t xml:space="preserve"> While it is for the national authorities to make the initial assessment of necessity, the final evaluation as to whether the reasons cited for the interference are relevant and sufficient remains subject to review by the Court for conformity with the requirements of the Convention (see, among other authorities, </w:t>
      </w:r>
      <w:r w:rsidRPr="006B23DD">
        <w:rPr>
          <w:rFonts w:ascii="Arial" w:hAnsi="Arial" w:cs="Arial"/>
          <w:i/>
          <w:sz w:val="22"/>
          <w:szCs w:val="22"/>
        </w:rPr>
        <w:t>Smith and Grady v. the United Kingdom</w:t>
      </w:r>
      <w:r w:rsidRPr="006B23DD">
        <w:rPr>
          <w:rFonts w:ascii="Arial" w:hAnsi="Arial" w:cs="Arial"/>
          <w:sz w:val="22"/>
          <w:szCs w:val="22"/>
        </w:rPr>
        <w:t>, nos. 33985/96 and 33986/96, 27 September 1999, §§ 88, ECHR 1999-VI).</w:t>
      </w:r>
      <w:r w:rsidRPr="006B23DD">
        <w:rPr>
          <w:rStyle w:val="FootnoteReference"/>
          <w:rFonts w:ascii="Arial" w:hAnsi="Arial" w:cs="Arial"/>
          <w:sz w:val="22"/>
          <w:szCs w:val="22"/>
        </w:rPr>
        <w:footnoteReference w:id="86"/>
      </w:r>
    </w:p>
    <w:p w14:paraId="391115E9" w14:textId="77777777" w:rsidR="006B23DD" w:rsidRDefault="006B23DD" w:rsidP="006B23DD">
      <w:pPr>
        <w:pStyle w:val="JuPara"/>
        <w:ind w:firstLine="0"/>
        <w:rPr>
          <w:rStyle w:val="sb8d990e2"/>
          <w:rFonts w:ascii="Arial" w:hAnsi="Arial" w:cs="Arial"/>
          <w:color w:val="000000" w:themeColor="text1"/>
          <w:szCs w:val="24"/>
        </w:rPr>
      </w:pPr>
    </w:p>
    <w:p w14:paraId="5F8257FF" w14:textId="408E4AA0" w:rsidR="006B23DD" w:rsidRPr="00640009" w:rsidRDefault="006B23DD" w:rsidP="006B23DD">
      <w:pPr>
        <w:pStyle w:val="JuPara"/>
        <w:ind w:firstLine="0"/>
        <w:rPr>
          <w:rFonts w:ascii="Arial" w:hAnsi="Arial" w:cs="Arial"/>
        </w:rPr>
      </w:pPr>
      <w:r w:rsidRPr="00640009">
        <w:rPr>
          <w:rStyle w:val="sb8d990e2"/>
          <w:rFonts w:ascii="Arial" w:hAnsi="Arial" w:cs="Arial"/>
          <w:color w:val="000000" w:themeColor="text1"/>
          <w:szCs w:val="24"/>
        </w:rPr>
        <w:t xml:space="preserve">While a margin of appreciation is left to the national authorities, this margin will vary according to the nature of the ECHR rights </w:t>
      </w:r>
      <w:r w:rsidR="00BC75A4">
        <w:rPr>
          <w:rStyle w:val="sb8d990e2"/>
          <w:rFonts w:ascii="Arial" w:hAnsi="Arial" w:cs="Arial"/>
          <w:color w:val="000000" w:themeColor="text1"/>
          <w:szCs w:val="24"/>
        </w:rPr>
        <w:t>at</w:t>
      </w:r>
      <w:r w:rsidRPr="00640009">
        <w:rPr>
          <w:rStyle w:val="sb8d990e2"/>
          <w:rFonts w:ascii="Arial" w:hAnsi="Arial" w:cs="Arial"/>
          <w:color w:val="000000" w:themeColor="text1"/>
          <w:szCs w:val="24"/>
        </w:rPr>
        <w:t xml:space="preserve"> issue. In </w:t>
      </w:r>
      <w:r w:rsidR="00640009" w:rsidRPr="00640009">
        <w:rPr>
          <w:rStyle w:val="sb8d990e2"/>
          <w:rFonts w:ascii="Arial" w:hAnsi="Arial" w:cs="Arial"/>
          <w:color w:val="000000" w:themeColor="text1"/>
          <w:szCs w:val="24"/>
        </w:rPr>
        <w:t>the application of wider social and economic policies related to housing</w:t>
      </w:r>
      <w:r w:rsidRPr="00640009">
        <w:rPr>
          <w:rStyle w:val="sb8d990e2"/>
          <w:rFonts w:ascii="Arial" w:hAnsi="Arial" w:cs="Arial"/>
          <w:color w:val="000000" w:themeColor="text1"/>
          <w:szCs w:val="24"/>
        </w:rPr>
        <w:t>,</w:t>
      </w:r>
      <w:r w:rsidR="00640009" w:rsidRPr="00640009">
        <w:rPr>
          <w:rStyle w:val="sb8d990e2"/>
          <w:rFonts w:ascii="Arial" w:hAnsi="Arial" w:cs="Arial"/>
          <w:color w:val="000000" w:themeColor="text1"/>
          <w:szCs w:val="24"/>
        </w:rPr>
        <w:t xml:space="preserve"> </w:t>
      </w:r>
      <w:r w:rsidRPr="00640009">
        <w:rPr>
          <w:rStyle w:val="sb8d990e2"/>
          <w:rFonts w:ascii="Arial" w:hAnsi="Arial" w:cs="Arial"/>
          <w:color w:val="000000" w:themeColor="text1"/>
          <w:szCs w:val="24"/>
        </w:rPr>
        <w:t>such a</w:t>
      </w:r>
      <w:r w:rsidR="00640009" w:rsidRPr="00640009">
        <w:rPr>
          <w:rStyle w:val="sb8d990e2"/>
          <w:rFonts w:ascii="Arial" w:hAnsi="Arial" w:cs="Arial"/>
          <w:color w:val="000000" w:themeColor="text1"/>
          <w:szCs w:val="24"/>
        </w:rPr>
        <w:t>s</w:t>
      </w:r>
      <w:r w:rsidRPr="00640009">
        <w:rPr>
          <w:rStyle w:val="sb8d990e2"/>
          <w:rFonts w:ascii="Arial" w:hAnsi="Arial" w:cs="Arial"/>
          <w:color w:val="000000" w:themeColor="text1"/>
          <w:szCs w:val="24"/>
        </w:rPr>
        <w:t xml:space="preserve"> planning policies</w:t>
      </w:r>
      <w:r w:rsidR="00640009" w:rsidRPr="00640009">
        <w:rPr>
          <w:rStyle w:val="sb8d990e2"/>
          <w:rFonts w:ascii="Arial" w:hAnsi="Arial" w:cs="Arial"/>
          <w:color w:val="000000" w:themeColor="text1"/>
          <w:szCs w:val="24"/>
        </w:rPr>
        <w:t>,</w:t>
      </w:r>
      <w:r w:rsidRPr="00640009">
        <w:rPr>
          <w:rStyle w:val="sb8d990e2"/>
          <w:rFonts w:ascii="Arial" w:hAnsi="Arial" w:cs="Arial"/>
          <w:color w:val="000000" w:themeColor="text1"/>
          <w:szCs w:val="24"/>
        </w:rPr>
        <w:t xml:space="preserve"> </w:t>
      </w:r>
      <w:r w:rsidR="00640009" w:rsidRPr="00640009">
        <w:rPr>
          <w:rStyle w:val="sb8d990e2"/>
          <w:rFonts w:ascii="Arial" w:hAnsi="Arial" w:cs="Arial"/>
          <w:color w:val="000000" w:themeColor="text1"/>
          <w:szCs w:val="24"/>
        </w:rPr>
        <w:t xml:space="preserve">national authorities enjoy a wide margin of appreciation. </w:t>
      </w:r>
      <w:r w:rsidRPr="00640009">
        <w:rPr>
          <w:rStyle w:val="sb8d990e2"/>
          <w:rFonts w:ascii="Arial" w:hAnsi="Arial" w:cs="Arial"/>
          <w:color w:val="000000" w:themeColor="text1"/>
          <w:szCs w:val="24"/>
        </w:rPr>
        <w:t xml:space="preserve">However, </w:t>
      </w:r>
      <w:r w:rsidRPr="00640009">
        <w:rPr>
          <w:rFonts w:ascii="Arial" w:hAnsi="Arial" w:cs="Arial"/>
        </w:rPr>
        <w:t xml:space="preserve">the margin of appreciation left to the </w:t>
      </w:r>
      <w:r w:rsidR="0072627A">
        <w:rPr>
          <w:rFonts w:ascii="Arial" w:hAnsi="Arial" w:cs="Arial"/>
        </w:rPr>
        <w:t xml:space="preserve">national </w:t>
      </w:r>
      <w:r w:rsidRPr="00640009">
        <w:rPr>
          <w:rFonts w:ascii="Arial" w:hAnsi="Arial" w:cs="Arial"/>
        </w:rPr>
        <w:t>authorities will tend to be narrower where the right at stake is crucial to the individual’s effective enjoyment of intimate or key rights.</w:t>
      </w:r>
      <w:r w:rsidR="00640009" w:rsidRPr="00DB16D1">
        <w:rPr>
          <w:rStyle w:val="FootnoteReference"/>
          <w:rFonts w:ascii="Arial" w:hAnsi="Arial" w:cs="Arial"/>
          <w:szCs w:val="24"/>
        </w:rPr>
        <w:footnoteReference w:id="87"/>
      </w:r>
    </w:p>
    <w:p w14:paraId="30D2DE69" w14:textId="77777777" w:rsidR="00640009" w:rsidRDefault="00640009" w:rsidP="00640009">
      <w:pPr>
        <w:pStyle w:val="JuPara"/>
        <w:ind w:firstLine="0"/>
      </w:pPr>
    </w:p>
    <w:p w14:paraId="15F50E9F" w14:textId="2DD1B1D8" w:rsidR="00640009" w:rsidRDefault="009231BE" w:rsidP="00640009">
      <w:pPr>
        <w:pStyle w:val="JuPara"/>
        <w:ind w:left="568" w:firstLine="0"/>
      </w:pPr>
      <w:r>
        <w:rPr>
          <w:rFonts w:ascii="Arial" w:hAnsi="Arial" w:cs="Arial"/>
          <w:sz w:val="22"/>
          <w:szCs w:val="22"/>
        </w:rPr>
        <w:t xml:space="preserve"> </w:t>
      </w:r>
      <w:r w:rsidR="00BC75A4">
        <w:rPr>
          <w:rFonts w:ascii="Arial" w:hAnsi="Arial" w:cs="Arial"/>
          <w:sz w:val="22"/>
          <w:szCs w:val="22"/>
        </w:rPr>
        <w:tab/>
        <w:t xml:space="preserve">    </w:t>
      </w:r>
      <w:r>
        <w:rPr>
          <w:rFonts w:ascii="Arial" w:hAnsi="Arial" w:cs="Arial"/>
          <w:sz w:val="22"/>
          <w:szCs w:val="22"/>
        </w:rPr>
        <w:t xml:space="preserve">(ii) </w:t>
      </w:r>
      <w:r w:rsidR="00640009" w:rsidRPr="00DB16D1">
        <w:rPr>
          <w:rFonts w:ascii="Arial" w:hAnsi="Arial" w:cs="Arial"/>
          <w:sz w:val="22"/>
          <w:szCs w:val="22"/>
        </w:rPr>
        <w:t>…</w:t>
      </w:r>
      <w:r w:rsidR="00640009" w:rsidRPr="00F6615D">
        <w:rPr>
          <w:rFonts w:ascii="Arial" w:hAnsi="Arial" w:cs="Arial"/>
          <w:b/>
          <w:sz w:val="22"/>
          <w:szCs w:val="22"/>
        </w:rPr>
        <w:t xml:space="preserve">Since Article 8 concerns rights of central importance to the individual’s identity, self-determination, physical and moral integrity, maintenance of relationships with others and a settled and secure place in the community, </w:t>
      </w:r>
      <w:r w:rsidR="00640009" w:rsidRPr="00640009">
        <w:rPr>
          <w:rFonts w:ascii="Arial" w:hAnsi="Arial" w:cs="Arial"/>
          <w:sz w:val="22"/>
          <w:szCs w:val="22"/>
        </w:rPr>
        <w:t xml:space="preserve">where general social and economic policy considerations have arisen in the context of Article 8 itself, </w:t>
      </w:r>
      <w:r w:rsidR="00640009" w:rsidRPr="00711356">
        <w:rPr>
          <w:rFonts w:ascii="Arial" w:hAnsi="Arial" w:cs="Arial"/>
          <w:b/>
          <w:sz w:val="22"/>
          <w:szCs w:val="22"/>
        </w:rPr>
        <w:t>the scope of the margin of appreciation depends on the context of the case, with particular significance attaching to the extent of the intrusion into the personal sphere of the applicant</w:t>
      </w:r>
      <w:r w:rsidR="00640009" w:rsidRPr="00640009">
        <w:rPr>
          <w:rFonts w:ascii="Arial" w:hAnsi="Arial" w:cs="Arial"/>
          <w:sz w:val="22"/>
          <w:szCs w:val="22"/>
        </w:rPr>
        <w:t xml:space="preserve"> (see, among many others, </w:t>
      </w:r>
      <w:r w:rsidR="00640009" w:rsidRPr="00640009">
        <w:rPr>
          <w:rFonts w:ascii="Arial" w:hAnsi="Arial" w:cs="Arial"/>
          <w:i/>
          <w:sz w:val="22"/>
          <w:szCs w:val="22"/>
          <w:lang w:eastAsia="en-US"/>
        </w:rPr>
        <w:t>Connors</w:t>
      </w:r>
      <w:r w:rsidR="00640009" w:rsidRPr="00640009">
        <w:rPr>
          <w:rFonts w:ascii="Arial" w:hAnsi="Arial" w:cs="Arial"/>
          <w:sz w:val="22"/>
          <w:szCs w:val="22"/>
          <w:lang w:eastAsia="en-US"/>
        </w:rPr>
        <w:t>, cited above,</w:t>
      </w:r>
      <w:r w:rsidR="00640009" w:rsidRPr="00640009">
        <w:rPr>
          <w:rFonts w:ascii="Arial" w:hAnsi="Arial" w:cs="Arial"/>
          <w:i/>
          <w:sz w:val="22"/>
          <w:szCs w:val="22"/>
          <w:lang w:eastAsia="en-US"/>
        </w:rPr>
        <w:t xml:space="preserve"> </w:t>
      </w:r>
      <w:r w:rsidR="00640009" w:rsidRPr="00640009">
        <w:rPr>
          <w:rFonts w:ascii="Arial" w:hAnsi="Arial" w:cs="Arial"/>
          <w:sz w:val="22"/>
          <w:szCs w:val="22"/>
          <w:lang w:eastAsia="en-US"/>
        </w:rPr>
        <w:t>§ 82</w:t>
      </w:r>
      <w:r w:rsidR="00640009" w:rsidRPr="00640009">
        <w:rPr>
          <w:rFonts w:ascii="Arial" w:hAnsi="Arial" w:cs="Arial"/>
          <w:sz w:val="22"/>
          <w:szCs w:val="22"/>
        </w:rPr>
        <w:t>);</w:t>
      </w:r>
    </w:p>
    <w:p w14:paraId="67AC11CD" w14:textId="2D8F3134" w:rsidR="00640009" w:rsidRPr="00640009" w:rsidRDefault="00640009" w:rsidP="00640009">
      <w:pPr>
        <w:pStyle w:val="JuPara"/>
        <w:ind w:left="568" w:firstLine="152"/>
        <w:rPr>
          <w:rFonts w:ascii="Arial" w:hAnsi="Arial" w:cs="Arial"/>
          <w:sz w:val="22"/>
          <w:szCs w:val="22"/>
        </w:rPr>
      </w:pPr>
      <w:r>
        <w:rPr>
          <w:rFonts w:ascii="Arial" w:hAnsi="Arial" w:cs="Arial"/>
          <w:sz w:val="22"/>
          <w:szCs w:val="22"/>
        </w:rPr>
        <w:t xml:space="preserve">   </w:t>
      </w:r>
      <w:r w:rsidRPr="00640009">
        <w:rPr>
          <w:rFonts w:ascii="Arial" w:hAnsi="Arial" w:cs="Arial"/>
          <w:sz w:val="22"/>
          <w:szCs w:val="22"/>
        </w:rPr>
        <w:t xml:space="preserve">(iii) The procedural safeguards available to the individual will be especially material in determining whether the respondent State has remained within its margin of appreciation. In particular, the Court must examine whether the decision-making process leading to measures of interference was fair and such as to afford due respect to the interests safeguarded to the individual by Article 8 (see </w:t>
      </w:r>
      <w:r w:rsidRPr="00640009">
        <w:rPr>
          <w:rFonts w:ascii="Arial" w:hAnsi="Arial" w:cs="Arial"/>
          <w:i/>
          <w:sz w:val="22"/>
          <w:szCs w:val="22"/>
        </w:rPr>
        <w:t>Buckley</w:t>
      </w:r>
      <w:r w:rsidRPr="00640009">
        <w:rPr>
          <w:rFonts w:ascii="Arial" w:hAnsi="Arial" w:cs="Arial"/>
          <w:sz w:val="22"/>
          <w:szCs w:val="22"/>
        </w:rPr>
        <w:t xml:space="preserve">, cited above, pp. 1292-93, § 76, and </w:t>
      </w:r>
      <w:r w:rsidRPr="00640009">
        <w:rPr>
          <w:rFonts w:ascii="Arial" w:hAnsi="Arial" w:cs="Arial"/>
          <w:i/>
          <w:sz w:val="22"/>
          <w:szCs w:val="22"/>
        </w:rPr>
        <w:t>Chapman</w:t>
      </w:r>
      <w:r w:rsidRPr="00640009">
        <w:rPr>
          <w:rFonts w:ascii="Arial" w:hAnsi="Arial" w:cs="Arial"/>
          <w:sz w:val="22"/>
          <w:szCs w:val="22"/>
        </w:rPr>
        <w:t>, cited above, § 92). T</w:t>
      </w:r>
      <w:r w:rsidRPr="00640009">
        <w:rPr>
          <w:rFonts w:ascii="Arial" w:hAnsi="Arial" w:cs="Arial"/>
          <w:sz w:val="22"/>
          <w:szCs w:val="22"/>
          <w:lang w:eastAsia="en-US"/>
        </w:rPr>
        <w:t xml:space="preserve">he “necessary in a democratic society” requirement under Article 8 § 2 raises a question of procedure as well of substance (see </w:t>
      </w:r>
      <w:r w:rsidRPr="00640009">
        <w:rPr>
          <w:rFonts w:ascii="Arial" w:hAnsi="Arial" w:cs="Arial"/>
          <w:i/>
          <w:sz w:val="22"/>
          <w:szCs w:val="22"/>
          <w:lang w:eastAsia="en-US"/>
        </w:rPr>
        <w:t>McCann</w:t>
      </w:r>
      <w:r w:rsidRPr="00640009">
        <w:rPr>
          <w:rFonts w:ascii="Arial" w:hAnsi="Arial" w:cs="Arial"/>
          <w:sz w:val="22"/>
          <w:szCs w:val="22"/>
        </w:rPr>
        <w:t xml:space="preserve">, cited above, </w:t>
      </w:r>
      <w:r w:rsidRPr="00640009">
        <w:rPr>
          <w:rFonts w:ascii="Arial" w:hAnsi="Arial" w:cs="Arial"/>
          <w:sz w:val="22"/>
          <w:szCs w:val="22"/>
          <w:lang w:eastAsia="en-US"/>
        </w:rPr>
        <w:t>§ 26);</w:t>
      </w:r>
    </w:p>
    <w:p w14:paraId="4F33E11B" w14:textId="752D1098" w:rsidR="00640009" w:rsidRPr="00640009" w:rsidRDefault="00640009" w:rsidP="00640009">
      <w:pPr>
        <w:pStyle w:val="JuPara"/>
        <w:ind w:left="568"/>
        <w:rPr>
          <w:rFonts w:ascii="Arial" w:hAnsi="Arial" w:cs="Arial"/>
          <w:i/>
          <w:sz w:val="22"/>
          <w:szCs w:val="22"/>
          <w:lang w:eastAsia="en-US"/>
        </w:rPr>
      </w:pPr>
      <w:r w:rsidRPr="00640009">
        <w:rPr>
          <w:rFonts w:ascii="Arial" w:hAnsi="Arial" w:cs="Arial"/>
          <w:sz w:val="22"/>
          <w:szCs w:val="22"/>
          <w:lang w:eastAsia="en-US"/>
        </w:rPr>
        <w:t xml:space="preserve">(iv) Since </w:t>
      </w:r>
      <w:r w:rsidRPr="00640009">
        <w:rPr>
          <w:rFonts w:ascii="Arial" w:hAnsi="Arial" w:cs="Arial"/>
          <w:sz w:val="22"/>
          <w:szCs w:val="22"/>
        </w:rPr>
        <w:t>the loss of one’s home is a most extreme form of interference with</w:t>
      </w:r>
      <w:r w:rsidRPr="00640009">
        <w:rPr>
          <w:rFonts w:ascii="Arial" w:hAnsi="Arial" w:cs="Arial"/>
          <w:sz w:val="22"/>
          <w:szCs w:val="22"/>
          <w:lang w:eastAsia="en-US"/>
        </w:rPr>
        <w:t xml:space="preserve"> the right under Article 8 to respect for one’s home,</w:t>
      </w:r>
      <w:r w:rsidRPr="00640009">
        <w:rPr>
          <w:rFonts w:ascii="Arial" w:hAnsi="Arial" w:cs="Arial"/>
          <w:sz w:val="22"/>
          <w:szCs w:val="22"/>
        </w:rPr>
        <w:t xml:space="preserve"> any person at risk of an interference of this magnitude should in principle be able to have the proportionality and reasonableness of the measure determined by an independent tribunal in the light of the relevant principles under Article 8, notwithstanding that, under domestic law, he has no right of occupation (see </w:t>
      </w:r>
      <w:r w:rsidRPr="00640009">
        <w:rPr>
          <w:rFonts w:ascii="Arial" w:hAnsi="Arial" w:cs="Arial"/>
          <w:i/>
          <w:sz w:val="22"/>
          <w:szCs w:val="22"/>
          <w:lang w:eastAsia="en-US"/>
        </w:rPr>
        <w:t>Kay and Others v. the United Kingdom</w:t>
      </w:r>
      <w:r w:rsidRPr="00640009">
        <w:rPr>
          <w:rFonts w:ascii="Arial" w:hAnsi="Arial" w:cs="Arial"/>
          <w:sz w:val="22"/>
          <w:szCs w:val="22"/>
          <w:lang w:eastAsia="en-US"/>
        </w:rPr>
        <w:t>, no. 37341/06</w:t>
      </w:r>
      <w:r w:rsidRPr="00640009">
        <w:rPr>
          <w:rFonts w:ascii="Arial" w:hAnsi="Arial" w:cs="Arial"/>
          <w:snapToGrid w:val="0"/>
          <w:sz w:val="22"/>
          <w:szCs w:val="22"/>
          <w:lang w:val="pt-BR" w:eastAsia="en-US"/>
        </w:rPr>
        <w:t xml:space="preserve">, § 67-8 and 74, 21 September 2010 and </w:t>
      </w:r>
      <w:r w:rsidRPr="00640009">
        <w:rPr>
          <w:rFonts w:ascii="Arial" w:hAnsi="Arial" w:cs="Arial"/>
          <w:i/>
          <w:sz w:val="22"/>
          <w:szCs w:val="22"/>
          <w:lang w:eastAsia="en-US"/>
        </w:rPr>
        <w:t>Orlić v. Croatia</w:t>
      </w:r>
      <w:r w:rsidRPr="00640009">
        <w:rPr>
          <w:rFonts w:ascii="Arial" w:hAnsi="Arial" w:cs="Arial"/>
          <w:sz w:val="22"/>
          <w:szCs w:val="22"/>
          <w:lang w:eastAsia="en-US"/>
        </w:rPr>
        <w:t>, no. 48833/07</w:t>
      </w:r>
      <w:r w:rsidRPr="00640009">
        <w:rPr>
          <w:rFonts w:ascii="Arial" w:hAnsi="Arial" w:cs="Arial"/>
          <w:snapToGrid w:val="0"/>
          <w:sz w:val="22"/>
          <w:szCs w:val="22"/>
          <w:lang w:val="pt-BR" w:eastAsia="en-US"/>
        </w:rPr>
        <w:t xml:space="preserve">, § 65, 21 June 2011). </w:t>
      </w:r>
      <w:r w:rsidRPr="00240010">
        <w:rPr>
          <w:rFonts w:ascii="Arial" w:hAnsi="Arial" w:cs="Arial"/>
          <w:snapToGrid w:val="0"/>
          <w:sz w:val="22"/>
          <w:szCs w:val="22"/>
          <w:lang w:val="pt-BR" w:eastAsia="en-US"/>
        </w:rPr>
        <w:t>This means, among other things, that where relevant arguments concerning the proportionality of the interference have been raised by the applicant in domestic judicial proceedings, the domestic courts should examine them in detail and provide adequate reasons (</w:t>
      </w:r>
      <w:r w:rsidRPr="00240010">
        <w:rPr>
          <w:rFonts w:ascii="Arial" w:hAnsi="Arial" w:cs="Arial"/>
          <w:i/>
          <w:snapToGrid w:val="0"/>
          <w:sz w:val="22"/>
          <w:szCs w:val="22"/>
          <w:lang w:val="pt-BR" w:eastAsia="en-US"/>
        </w:rPr>
        <w:t>ibid</w:t>
      </w:r>
      <w:r w:rsidRPr="00240010">
        <w:rPr>
          <w:rFonts w:ascii="Arial" w:hAnsi="Arial" w:cs="Arial"/>
          <w:snapToGrid w:val="0"/>
          <w:sz w:val="22"/>
          <w:szCs w:val="22"/>
          <w:lang w:val="pt-BR" w:eastAsia="en-US"/>
        </w:rPr>
        <w:t>., §§ 67-69);</w:t>
      </w:r>
      <w:r w:rsidR="00240010">
        <w:rPr>
          <w:rStyle w:val="FootnoteReference"/>
          <w:rFonts w:ascii="Arial" w:hAnsi="Arial" w:cs="Arial"/>
          <w:snapToGrid w:val="0"/>
          <w:sz w:val="22"/>
          <w:szCs w:val="22"/>
          <w:lang w:val="pt-BR" w:eastAsia="en-US"/>
        </w:rPr>
        <w:footnoteReference w:id="88"/>
      </w:r>
    </w:p>
    <w:p w14:paraId="144F9769" w14:textId="77777777" w:rsidR="00640009" w:rsidRPr="00640009" w:rsidRDefault="00640009" w:rsidP="00640009">
      <w:pPr>
        <w:pStyle w:val="JuPara"/>
        <w:ind w:left="568"/>
        <w:rPr>
          <w:rFonts w:ascii="Arial" w:hAnsi="Arial" w:cs="Arial"/>
          <w:sz w:val="22"/>
          <w:szCs w:val="22"/>
        </w:rPr>
      </w:pPr>
      <w:r w:rsidRPr="00640009">
        <w:rPr>
          <w:rFonts w:ascii="Arial" w:hAnsi="Arial" w:cs="Arial"/>
          <w:snapToGrid w:val="0"/>
          <w:sz w:val="22"/>
          <w:szCs w:val="22"/>
          <w:lang w:val="pt-BR" w:eastAsia="en-US"/>
        </w:rPr>
        <w:t xml:space="preserve">(v) </w:t>
      </w:r>
      <w:r w:rsidRPr="00711356">
        <w:rPr>
          <w:rFonts w:ascii="Arial" w:hAnsi="Arial" w:cs="Arial"/>
          <w:b/>
          <w:snapToGrid w:val="0"/>
          <w:sz w:val="22"/>
          <w:szCs w:val="22"/>
          <w:lang w:val="pt-BR" w:eastAsia="en-US"/>
        </w:rPr>
        <w:t xml:space="preserve">Where the </w:t>
      </w:r>
      <w:r w:rsidRPr="00711356">
        <w:rPr>
          <w:rFonts w:ascii="Arial" w:hAnsi="Arial" w:cs="Arial"/>
          <w:b/>
          <w:sz w:val="22"/>
          <w:szCs w:val="22"/>
        </w:rPr>
        <w:t>national authorities, in their decisions ordering and upholding the applicant’s eviction, have not given any explanation or put forward any arguments demonstrating that the applicant’s eviction was necessary, the Court may draw the inference that the State’s legitimate interest in being able to control its property should come second to the applicant’s right to respect for his home</w:t>
      </w:r>
      <w:r w:rsidRPr="00640009">
        <w:rPr>
          <w:rFonts w:ascii="Arial" w:hAnsi="Arial" w:cs="Arial"/>
          <w:sz w:val="22"/>
          <w:szCs w:val="22"/>
        </w:rPr>
        <w:t xml:space="preserve"> (</w:t>
      </w:r>
      <w:r w:rsidRPr="00640009">
        <w:rPr>
          <w:rFonts w:ascii="Arial" w:hAnsi="Arial" w:cs="Arial"/>
          <w:i/>
          <w:sz w:val="22"/>
          <w:szCs w:val="22"/>
        </w:rPr>
        <w:t>ibid</w:t>
      </w:r>
      <w:r w:rsidRPr="00640009">
        <w:rPr>
          <w:rFonts w:ascii="Arial" w:hAnsi="Arial" w:cs="Arial"/>
          <w:sz w:val="22"/>
          <w:szCs w:val="22"/>
        </w:rPr>
        <w:t>).</w:t>
      </w:r>
    </w:p>
    <w:p w14:paraId="4389B44A" w14:textId="77777777" w:rsidR="0055759E" w:rsidRPr="00113C90" w:rsidRDefault="0055759E" w:rsidP="0055759E">
      <w:pPr>
        <w:widowControl w:val="0"/>
        <w:autoSpaceDE w:val="0"/>
        <w:autoSpaceDN w:val="0"/>
        <w:adjustRightInd w:val="0"/>
        <w:spacing w:after="0" w:line="240" w:lineRule="auto"/>
        <w:rPr>
          <w:rStyle w:val="sb8d990e2"/>
          <w:rFonts w:ascii="Arial" w:hAnsi="Arial" w:cs="Arial"/>
          <w:color w:val="000000" w:themeColor="text1"/>
          <w:sz w:val="24"/>
          <w:szCs w:val="24"/>
        </w:rPr>
      </w:pPr>
    </w:p>
    <w:p w14:paraId="14D6466A" w14:textId="702224EB" w:rsidR="0055759E" w:rsidRDefault="0055759E" w:rsidP="0055759E">
      <w:pPr>
        <w:spacing w:after="0" w:line="240" w:lineRule="auto"/>
        <w:jc w:val="both"/>
        <w:rPr>
          <w:rFonts w:ascii="Arial" w:hAnsi="Arial" w:cs="Arial"/>
          <w:color w:val="000000" w:themeColor="text1"/>
          <w:sz w:val="24"/>
          <w:szCs w:val="24"/>
        </w:rPr>
      </w:pPr>
      <w:r w:rsidRPr="00113C90">
        <w:rPr>
          <w:rFonts w:ascii="Arial" w:hAnsi="Arial" w:cs="Arial"/>
          <w:sz w:val="24"/>
          <w:szCs w:val="24"/>
        </w:rPr>
        <w:t>In relation</w:t>
      </w:r>
      <w:r>
        <w:rPr>
          <w:rFonts w:ascii="Arial" w:hAnsi="Arial" w:cs="Arial"/>
          <w:sz w:val="24"/>
          <w:szCs w:val="24"/>
        </w:rPr>
        <w:t xml:space="preserve"> to possession proceedings the </w:t>
      </w:r>
      <w:r w:rsidRPr="00113C90">
        <w:rPr>
          <w:rFonts w:ascii="Arial" w:hAnsi="Arial" w:cs="Arial"/>
          <w:sz w:val="24"/>
          <w:szCs w:val="24"/>
        </w:rPr>
        <w:t xml:space="preserve">ECtHR </w:t>
      </w:r>
      <w:r w:rsidR="0072627A">
        <w:rPr>
          <w:rFonts w:ascii="Arial" w:hAnsi="Arial" w:cs="Arial"/>
          <w:sz w:val="24"/>
          <w:szCs w:val="24"/>
        </w:rPr>
        <w:t xml:space="preserve">also took a </w:t>
      </w:r>
      <w:r w:rsidRPr="00113C90">
        <w:rPr>
          <w:rFonts w:ascii="Arial" w:hAnsi="Arial" w:cs="Arial"/>
          <w:sz w:val="24"/>
          <w:szCs w:val="24"/>
        </w:rPr>
        <w:t>proactive approach</w:t>
      </w:r>
      <w:r>
        <w:rPr>
          <w:rFonts w:ascii="Arial" w:hAnsi="Arial" w:cs="Arial"/>
          <w:sz w:val="24"/>
          <w:szCs w:val="24"/>
        </w:rPr>
        <w:t xml:space="preserve"> in </w:t>
      </w:r>
      <w:r w:rsidRPr="00113C90">
        <w:rPr>
          <w:rFonts w:ascii="Arial" w:hAnsi="Arial" w:cs="Arial"/>
          <w:i/>
          <w:sz w:val="24"/>
          <w:szCs w:val="24"/>
        </w:rPr>
        <w:t>Ceesay, Ceesay v Spain</w:t>
      </w:r>
      <w:r w:rsidR="0072627A">
        <w:rPr>
          <w:rFonts w:ascii="Arial" w:hAnsi="Arial" w:cs="Arial"/>
          <w:i/>
          <w:sz w:val="24"/>
          <w:szCs w:val="24"/>
        </w:rPr>
        <w:t>,</w:t>
      </w:r>
      <w:r w:rsidRPr="00113C90">
        <w:rPr>
          <w:rStyle w:val="FootnoteReference"/>
          <w:rFonts w:ascii="Arial" w:hAnsi="Arial" w:cs="Arial"/>
          <w:sz w:val="24"/>
          <w:szCs w:val="24"/>
        </w:rPr>
        <w:footnoteReference w:id="89"/>
      </w:r>
      <w:r w:rsidRPr="00113C90">
        <w:rPr>
          <w:rFonts w:ascii="Arial" w:hAnsi="Arial" w:cs="Arial"/>
          <w:color w:val="000000" w:themeColor="text1"/>
          <w:sz w:val="24"/>
          <w:szCs w:val="24"/>
        </w:rPr>
        <w:t xml:space="preserve"> </w:t>
      </w:r>
      <w:r>
        <w:rPr>
          <w:rFonts w:ascii="Arial" w:hAnsi="Arial" w:cs="Arial"/>
          <w:color w:val="000000" w:themeColor="text1"/>
          <w:sz w:val="24"/>
          <w:szCs w:val="24"/>
        </w:rPr>
        <w:t xml:space="preserve">where it </w:t>
      </w:r>
      <w:r w:rsidRPr="00113C90">
        <w:rPr>
          <w:rFonts w:ascii="Arial" w:hAnsi="Arial" w:cs="Arial"/>
          <w:color w:val="000000" w:themeColor="text1"/>
          <w:sz w:val="24"/>
          <w:szCs w:val="24"/>
        </w:rPr>
        <w:t xml:space="preserve">requested details of what housing and social care arrangements </w:t>
      </w:r>
      <w:r w:rsidR="00FC3828">
        <w:rPr>
          <w:rFonts w:ascii="Arial" w:hAnsi="Arial" w:cs="Arial"/>
          <w:color w:val="000000" w:themeColor="text1"/>
          <w:sz w:val="24"/>
          <w:szCs w:val="24"/>
        </w:rPr>
        <w:t xml:space="preserve">the State of </w:t>
      </w:r>
      <w:r w:rsidRPr="00113C90">
        <w:rPr>
          <w:rFonts w:ascii="Arial" w:hAnsi="Arial" w:cs="Arial"/>
          <w:color w:val="000000" w:themeColor="text1"/>
          <w:sz w:val="24"/>
          <w:szCs w:val="24"/>
        </w:rPr>
        <w:t>Spain was making for a household with children who were being evicted from a squatted property owned by a Spanish nationalised bank.</w:t>
      </w:r>
      <w:r w:rsidR="0072627A">
        <w:rPr>
          <w:rFonts w:ascii="Arial" w:hAnsi="Arial" w:cs="Arial"/>
          <w:color w:val="000000" w:themeColor="text1"/>
          <w:sz w:val="24"/>
          <w:szCs w:val="24"/>
        </w:rPr>
        <w:t xml:space="preserve"> It asked the Spanish authorities the following question:</w:t>
      </w:r>
    </w:p>
    <w:p w14:paraId="7B580794" w14:textId="77777777" w:rsidR="0055759E" w:rsidRPr="00113C90" w:rsidRDefault="0055759E" w:rsidP="0055759E">
      <w:pPr>
        <w:spacing w:after="0" w:line="240" w:lineRule="auto"/>
        <w:jc w:val="both"/>
        <w:rPr>
          <w:rFonts w:ascii="Arial" w:hAnsi="Arial" w:cs="Arial"/>
          <w:color w:val="000000" w:themeColor="text1"/>
          <w:sz w:val="24"/>
          <w:szCs w:val="24"/>
        </w:rPr>
      </w:pPr>
    </w:p>
    <w:p w14:paraId="7B27A602" w14:textId="401BED99" w:rsidR="0055759E" w:rsidRDefault="0055759E" w:rsidP="0055759E">
      <w:pPr>
        <w:widowControl w:val="0"/>
        <w:autoSpaceDE w:val="0"/>
        <w:autoSpaceDN w:val="0"/>
        <w:adjustRightInd w:val="0"/>
        <w:spacing w:after="0" w:line="240" w:lineRule="auto"/>
        <w:ind w:left="720"/>
        <w:rPr>
          <w:rFonts w:ascii="Arial" w:eastAsiaTheme="minorEastAsia" w:hAnsi="Arial" w:cs="Arial"/>
          <w:lang w:val="en-US" w:eastAsia="ja-JP"/>
        </w:rPr>
      </w:pPr>
      <w:r w:rsidRPr="00742739">
        <w:rPr>
          <w:rFonts w:ascii="Arial" w:eastAsiaTheme="minorEastAsia" w:hAnsi="Arial" w:cs="Arial"/>
          <w:lang w:val="en-US" w:eastAsia="ja-JP"/>
        </w:rPr>
        <w:t xml:space="preserve">Which are the measures that the domestic authorities intend to implement with regards to the applicants, particularly the children, in light of their vulnerability, in order to prevent the alleged violation of Article 3 and 8 of the Convention? In </w:t>
      </w:r>
      <w:r w:rsidR="0072627A">
        <w:rPr>
          <w:rFonts w:ascii="Arial" w:eastAsiaTheme="minorEastAsia" w:hAnsi="Arial" w:cs="Arial"/>
          <w:lang w:val="en-US" w:eastAsia="ja-JP"/>
        </w:rPr>
        <w:t>p</w:t>
      </w:r>
      <w:r w:rsidRPr="00742739">
        <w:rPr>
          <w:rFonts w:ascii="Arial" w:eastAsiaTheme="minorEastAsia" w:hAnsi="Arial" w:cs="Arial"/>
          <w:lang w:val="en-US" w:eastAsia="ja-JP"/>
        </w:rPr>
        <w:t>articular, which are the arrangements regarding housing and social care envisaged by the domestic authorities?</w:t>
      </w:r>
      <w:r w:rsidRPr="00DD5C2F">
        <w:rPr>
          <w:rStyle w:val="FootnoteReference"/>
          <w:rFonts w:ascii="Arial" w:hAnsi="Arial" w:cs="Arial"/>
          <w:sz w:val="24"/>
          <w:szCs w:val="24"/>
        </w:rPr>
        <w:t xml:space="preserve"> </w:t>
      </w:r>
      <w:r w:rsidRPr="00113C90">
        <w:rPr>
          <w:rStyle w:val="FootnoteReference"/>
          <w:rFonts w:ascii="Arial" w:hAnsi="Arial" w:cs="Arial"/>
          <w:sz w:val="24"/>
          <w:szCs w:val="24"/>
        </w:rPr>
        <w:footnoteReference w:id="90"/>
      </w:r>
    </w:p>
    <w:p w14:paraId="3B1894A3" w14:textId="77777777" w:rsidR="0055759E" w:rsidRPr="00742739" w:rsidRDefault="0055759E" w:rsidP="0055759E">
      <w:pPr>
        <w:widowControl w:val="0"/>
        <w:autoSpaceDE w:val="0"/>
        <w:autoSpaceDN w:val="0"/>
        <w:adjustRightInd w:val="0"/>
        <w:spacing w:after="0" w:line="240" w:lineRule="auto"/>
        <w:ind w:left="720"/>
        <w:rPr>
          <w:rFonts w:ascii="Arial" w:eastAsiaTheme="minorEastAsia" w:hAnsi="Arial" w:cs="Arial"/>
          <w:lang w:val="en-US" w:eastAsia="ja-JP"/>
        </w:rPr>
      </w:pPr>
    </w:p>
    <w:p w14:paraId="390AF912" w14:textId="0C47029B" w:rsidR="0055759E" w:rsidRDefault="0055759E" w:rsidP="0055759E">
      <w:pPr>
        <w:widowControl w:val="0"/>
        <w:autoSpaceDE w:val="0"/>
        <w:autoSpaceDN w:val="0"/>
        <w:adjustRightInd w:val="0"/>
        <w:spacing w:after="0" w:line="240" w:lineRule="auto"/>
        <w:rPr>
          <w:rFonts w:ascii="Arial" w:hAnsi="Arial" w:cs="Arial"/>
          <w:color w:val="000000" w:themeColor="text1"/>
          <w:sz w:val="24"/>
          <w:szCs w:val="24"/>
        </w:rPr>
      </w:pPr>
      <w:r w:rsidRPr="00113C90">
        <w:rPr>
          <w:rFonts w:ascii="Arial" w:eastAsiaTheme="minorEastAsia" w:hAnsi="Arial" w:cs="Arial"/>
          <w:sz w:val="24"/>
          <w:szCs w:val="24"/>
          <w:lang w:val="en-US" w:eastAsia="ja-JP"/>
        </w:rPr>
        <w:t xml:space="preserve">In this case, the Spanish State </w:t>
      </w:r>
      <w:r w:rsidR="0072627A">
        <w:rPr>
          <w:rFonts w:ascii="Arial" w:eastAsiaTheme="minorEastAsia" w:hAnsi="Arial" w:cs="Arial"/>
          <w:sz w:val="24"/>
          <w:szCs w:val="24"/>
          <w:lang w:val="en-US" w:eastAsia="ja-JP"/>
        </w:rPr>
        <w:t>arranged for the provision of</w:t>
      </w:r>
      <w:r w:rsidRPr="00113C90">
        <w:rPr>
          <w:rFonts w:ascii="Arial" w:eastAsiaTheme="minorEastAsia" w:hAnsi="Arial" w:cs="Arial"/>
          <w:sz w:val="24"/>
          <w:szCs w:val="24"/>
          <w:lang w:val="en-US" w:eastAsia="ja-JP"/>
        </w:rPr>
        <w:t xml:space="preserve"> social housing and a social support plan for two years to satisfy the ECHR obligations, and the eviction was allowed to proceed. In another </w:t>
      </w:r>
      <w:r w:rsidRPr="00113C90">
        <w:rPr>
          <w:rFonts w:ascii="Arial" w:hAnsi="Arial" w:cs="Arial"/>
          <w:color w:val="000000" w:themeColor="text1"/>
          <w:sz w:val="24"/>
          <w:szCs w:val="24"/>
        </w:rPr>
        <w:t xml:space="preserve">Spanish case, </w:t>
      </w:r>
      <w:r w:rsidR="0072627A">
        <w:rPr>
          <w:rFonts w:ascii="Arial" w:hAnsi="Arial" w:cs="Arial"/>
          <w:color w:val="000000" w:themeColor="text1"/>
          <w:sz w:val="24"/>
          <w:szCs w:val="24"/>
        </w:rPr>
        <w:t xml:space="preserve">an </w:t>
      </w:r>
      <w:r w:rsidRPr="00113C90">
        <w:rPr>
          <w:rFonts w:ascii="Arial" w:hAnsi="Arial" w:cs="Arial"/>
          <w:color w:val="000000" w:themeColor="text1"/>
          <w:sz w:val="24"/>
          <w:szCs w:val="24"/>
        </w:rPr>
        <w:t>eviction</w:t>
      </w:r>
      <w:r w:rsidR="0072627A">
        <w:rPr>
          <w:rFonts w:ascii="Arial" w:hAnsi="Arial" w:cs="Arial"/>
          <w:color w:val="000000" w:themeColor="text1"/>
          <w:sz w:val="24"/>
          <w:szCs w:val="24"/>
        </w:rPr>
        <w:t xml:space="preserve"> was </w:t>
      </w:r>
      <w:r w:rsidRPr="00113C90">
        <w:rPr>
          <w:rFonts w:ascii="Arial" w:hAnsi="Arial" w:cs="Arial"/>
          <w:color w:val="000000" w:themeColor="text1"/>
          <w:sz w:val="24"/>
          <w:szCs w:val="24"/>
        </w:rPr>
        <w:t>suspended on the grounds of Article 8 ECHR, until welfare services were provided by the state to a mother and two children being evicted.</w:t>
      </w:r>
      <w:r w:rsidRPr="00113C90">
        <w:rPr>
          <w:rStyle w:val="FootnoteReference"/>
          <w:rFonts w:ascii="Arial" w:eastAsia="MS Mincho" w:hAnsi="Arial" w:cs="Arial"/>
          <w:color w:val="000000" w:themeColor="text1"/>
          <w:sz w:val="24"/>
          <w:szCs w:val="24"/>
          <w:lang w:val="en-GB"/>
        </w:rPr>
        <w:footnoteReference w:id="91"/>
      </w:r>
      <w:r w:rsidRPr="00113C90">
        <w:rPr>
          <w:rFonts w:ascii="Arial" w:hAnsi="Arial" w:cs="Arial"/>
          <w:color w:val="000000" w:themeColor="text1"/>
          <w:sz w:val="24"/>
          <w:szCs w:val="24"/>
        </w:rPr>
        <w:t xml:space="preserve"> </w:t>
      </w:r>
    </w:p>
    <w:p w14:paraId="750208CB" w14:textId="77777777" w:rsidR="0055759E" w:rsidRPr="00113C90" w:rsidRDefault="0055759E" w:rsidP="0055759E">
      <w:pPr>
        <w:widowControl w:val="0"/>
        <w:autoSpaceDE w:val="0"/>
        <w:autoSpaceDN w:val="0"/>
        <w:adjustRightInd w:val="0"/>
        <w:spacing w:after="0" w:line="240" w:lineRule="auto"/>
        <w:rPr>
          <w:rFonts w:ascii="Arial" w:hAnsi="Arial" w:cs="Arial"/>
          <w:color w:val="000000" w:themeColor="text1"/>
          <w:sz w:val="24"/>
          <w:szCs w:val="24"/>
        </w:rPr>
      </w:pPr>
    </w:p>
    <w:p w14:paraId="6CF784AB" w14:textId="37F88B84" w:rsidR="004A2028" w:rsidRDefault="00FC3828" w:rsidP="006B7A0D">
      <w:pPr>
        <w:pStyle w:val="c02alineaalta"/>
        <w:spacing w:before="0" w:beforeAutospacing="0" w:after="0" w:afterAutospacing="0"/>
        <w:rPr>
          <w:rFonts w:ascii="Arial" w:hAnsi="Arial" w:cs="Arial"/>
          <w:sz w:val="24"/>
          <w:szCs w:val="24"/>
        </w:rPr>
      </w:pPr>
      <w:r>
        <w:rPr>
          <w:rFonts w:ascii="Arial" w:hAnsi="Arial" w:cs="Arial"/>
          <w:sz w:val="24"/>
          <w:szCs w:val="24"/>
        </w:rPr>
        <w:t xml:space="preserve">Thus, the </w:t>
      </w:r>
      <w:r w:rsidR="004A2028">
        <w:rPr>
          <w:rFonts w:ascii="Arial" w:hAnsi="Arial" w:cs="Arial"/>
          <w:sz w:val="24"/>
          <w:szCs w:val="24"/>
        </w:rPr>
        <w:t xml:space="preserve">‘proportionality’ issues involved of the granting of a possession order have been widely examined by the ECtHR, and through the prism of the Charter must be read into the implementation of the UCTD at a national law level, </w:t>
      </w:r>
      <w:r w:rsidR="0072627A">
        <w:rPr>
          <w:rFonts w:ascii="Arial" w:hAnsi="Arial" w:cs="Arial"/>
          <w:sz w:val="24"/>
          <w:szCs w:val="24"/>
        </w:rPr>
        <w:t>as part o</w:t>
      </w:r>
      <w:r w:rsidR="004A2028">
        <w:rPr>
          <w:rFonts w:ascii="Arial" w:hAnsi="Arial" w:cs="Arial"/>
          <w:sz w:val="24"/>
          <w:szCs w:val="24"/>
        </w:rPr>
        <w:t xml:space="preserve">f binding EU law. </w:t>
      </w:r>
    </w:p>
    <w:p w14:paraId="75C6BE48" w14:textId="77777777" w:rsidR="004A2028" w:rsidRDefault="004A2028" w:rsidP="006B7A0D">
      <w:pPr>
        <w:pStyle w:val="c02alineaalta"/>
        <w:spacing w:before="0" w:beforeAutospacing="0" w:after="0" w:afterAutospacing="0"/>
        <w:rPr>
          <w:rFonts w:ascii="Arial" w:hAnsi="Arial" w:cs="Arial"/>
          <w:sz w:val="24"/>
          <w:szCs w:val="24"/>
        </w:rPr>
      </w:pPr>
    </w:p>
    <w:p w14:paraId="577FF2BB" w14:textId="4F7F63A9" w:rsidR="006A07F2" w:rsidRPr="004A2028" w:rsidRDefault="004A2028" w:rsidP="004A2028">
      <w:pPr>
        <w:pStyle w:val="c02alineaalta"/>
        <w:spacing w:before="0" w:beforeAutospacing="0" w:after="0" w:afterAutospacing="0"/>
        <w:rPr>
          <w:rFonts w:ascii="Arial" w:hAnsi="Arial" w:cs="Arial"/>
          <w:sz w:val="24"/>
          <w:szCs w:val="24"/>
        </w:rPr>
      </w:pPr>
      <w:r>
        <w:rPr>
          <w:rFonts w:ascii="Arial" w:hAnsi="Arial" w:cs="Arial"/>
          <w:sz w:val="24"/>
          <w:szCs w:val="24"/>
        </w:rPr>
        <w:t xml:space="preserve">In addition to the UCTD, other EU law provisions may bring some possession proceedings within the ‘scope’ of EU law. The EU </w:t>
      </w:r>
      <w:r w:rsidR="006A07F2" w:rsidRPr="004A2028">
        <w:rPr>
          <w:rFonts w:ascii="Arial" w:hAnsi="Arial"/>
          <w:sz w:val="24"/>
          <w:szCs w:val="24"/>
        </w:rPr>
        <w:t>Mortgage Credit Directive of 2014</w:t>
      </w:r>
      <w:r w:rsidR="006B7A0D" w:rsidRPr="004A2028">
        <w:rPr>
          <w:rStyle w:val="FootnoteReference"/>
          <w:rFonts w:ascii="Arial" w:hAnsi="Arial"/>
          <w:sz w:val="24"/>
          <w:szCs w:val="24"/>
        </w:rPr>
        <w:footnoteReference w:id="92"/>
      </w:r>
      <w:r>
        <w:rPr>
          <w:rFonts w:ascii="Arial" w:hAnsi="Arial"/>
          <w:sz w:val="24"/>
          <w:szCs w:val="24"/>
        </w:rPr>
        <w:t xml:space="preserve"> was </w:t>
      </w:r>
      <w:r w:rsidR="006A07F2" w:rsidRPr="004A2028">
        <w:rPr>
          <w:rFonts w:ascii="Arial" w:hAnsi="Arial"/>
          <w:sz w:val="24"/>
          <w:szCs w:val="24"/>
        </w:rPr>
        <w:t>enacted to deal with a situation where</w:t>
      </w:r>
      <w:r w:rsidRPr="004A2028">
        <w:rPr>
          <w:rFonts w:ascii="Arial" w:hAnsi="Arial"/>
          <w:sz w:val="24"/>
          <w:szCs w:val="24"/>
        </w:rPr>
        <w:t xml:space="preserve"> </w:t>
      </w:r>
      <w:r w:rsidRPr="004A2028">
        <w:rPr>
          <w:rFonts w:ascii="Arial" w:hAnsi="Arial"/>
          <w:i/>
          <w:sz w:val="24"/>
          <w:szCs w:val="24"/>
        </w:rPr>
        <w:t>“</w:t>
      </w:r>
      <w:r w:rsidR="006A07F2" w:rsidRPr="004A2028">
        <w:rPr>
          <w:rFonts w:ascii="Arial" w:hAnsi="Arial" w:cs="Arial"/>
          <w:i/>
          <w:sz w:val="24"/>
          <w:szCs w:val="24"/>
        </w:rPr>
        <w:t>A series of problems have been identified in mortgage markets within the Union relating to irresponsible lending and borrowing and the potential scope for irresponsible behaviour by market participants including credit intermediaries and non-credit institutions</w:t>
      </w:r>
      <w:r w:rsidRPr="004A2028">
        <w:rPr>
          <w:rFonts w:ascii="Arial" w:hAnsi="Arial" w:cs="Arial"/>
          <w:i/>
          <w:sz w:val="24"/>
          <w:szCs w:val="24"/>
        </w:rPr>
        <w:t>”</w:t>
      </w:r>
      <w:r w:rsidR="006A07F2" w:rsidRPr="004A2028">
        <w:rPr>
          <w:rFonts w:ascii="Arial" w:hAnsi="Arial" w:cs="Arial"/>
          <w:i/>
          <w:sz w:val="24"/>
          <w:szCs w:val="24"/>
        </w:rPr>
        <w:t>.</w:t>
      </w:r>
      <w:r w:rsidR="006B7A0D" w:rsidRPr="004A2028">
        <w:rPr>
          <w:rStyle w:val="FootnoteReference"/>
          <w:rFonts w:ascii="Arial" w:hAnsi="Arial" w:cs="Arial"/>
          <w:i/>
          <w:sz w:val="24"/>
          <w:szCs w:val="24"/>
        </w:rPr>
        <w:footnoteReference w:id="93"/>
      </w:r>
      <w:r w:rsidR="006A07F2" w:rsidRPr="004A2028">
        <w:rPr>
          <w:rFonts w:ascii="Arial" w:hAnsi="Arial" w:cs="Arial"/>
          <w:sz w:val="24"/>
          <w:szCs w:val="24"/>
        </w:rPr>
        <w:t xml:space="preserve"> </w:t>
      </w:r>
    </w:p>
    <w:p w14:paraId="65FB1011" w14:textId="77777777" w:rsidR="006B7A0D" w:rsidRDefault="006B7A0D" w:rsidP="006B7A0D">
      <w:pPr>
        <w:spacing w:after="0" w:line="240" w:lineRule="auto"/>
        <w:rPr>
          <w:rFonts w:ascii="Arial" w:hAnsi="Arial" w:cs="Arial"/>
          <w:sz w:val="24"/>
          <w:szCs w:val="24"/>
        </w:rPr>
      </w:pPr>
    </w:p>
    <w:p w14:paraId="7664AF8B" w14:textId="736432BA" w:rsidR="006B7A0D" w:rsidRDefault="006B7A0D" w:rsidP="006B7A0D">
      <w:pPr>
        <w:spacing w:after="0" w:line="240" w:lineRule="auto"/>
        <w:rPr>
          <w:rFonts w:ascii="Arial" w:eastAsiaTheme="minorEastAsia" w:hAnsi="Arial" w:cs="Arial"/>
          <w:sz w:val="24"/>
          <w:szCs w:val="24"/>
          <w:lang w:val="en-US" w:eastAsia="ja-JP"/>
        </w:rPr>
      </w:pPr>
      <w:r w:rsidRPr="008864E1">
        <w:rPr>
          <w:rFonts w:ascii="Arial" w:hAnsi="Arial" w:cs="Arial"/>
          <w:sz w:val="24"/>
          <w:szCs w:val="24"/>
        </w:rPr>
        <w:t>The European Union (Consumer Mortgage Credit Agreements ) Regulations 2016, SI No. 142 of 2016 was commenced on March 21</w:t>
      </w:r>
      <w:r w:rsidRPr="008864E1">
        <w:rPr>
          <w:rFonts w:ascii="Arial" w:hAnsi="Arial" w:cs="Arial"/>
          <w:sz w:val="24"/>
          <w:szCs w:val="24"/>
          <w:vertAlign w:val="superscript"/>
        </w:rPr>
        <w:t>st</w:t>
      </w:r>
      <w:r w:rsidRPr="008864E1">
        <w:rPr>
          <w:rFonts w:ascii="Arial" w:hAnsi="Arial" w:cs="Arial"/>
          <w:sz w:val="24"/>
          <w:szCs w:val="24"/>
        </w:rPr>
        <w:t xml:space="preserve"> 2016 </w:t>
      </w:r>
      <w:r w:rsidRPr="004A2028">
        <w:rPr>
          <w:rFonts w:ascii="Arial" w:hAnsi="Arial" w:cs="Arial"/>
          <w:b/>
          <w:sz w:val="24"/>
          <w:szCs w:val="24"/>
        </w:rPr>
        <w:t>for the purpose of giving effect t</w:t>
      </w:r>
      <w:r w:rsidRPr="008864E1">
        <w:rPr>
          <w:rFonts w:ascii="Arial" w:hAnsi="Arial" w:cs="Arial"/>
          <w:sz w:val="24"/>
          <w:szCs w:val="24"/>
        </w:rPr>
        <w:t>o Directive 2014/17/EU</w:t>
      </w:r>
      <w:r>
        <w:rPr>
          <w:rFonts w:ascii="Arial" w:hAnsi="Arial" w:cs="Arial"/>
          <w:sz w:val="24"/>
          <w:szCs w:val="24"/>
        </w:rPr>
        <w:t xml:space="preserve"> (The Mortgage Credit Directive)</w:t>
      </w:r>
      <w:r w:rsidRPr="008864E1">
        <w:rPr>
          <w:rFonts w:ascii="Arial" w:hAnsi="Arial" w:cs="Arial"/>
          <w:sz w:val="24"/>
          <w:szCs w:val="24"/>
        </w:rPr>
        <w:t>.</w:t>
      </w:r>
      <w:r>
        <w:rPr>
          <w:rFonts w:ascii="Arial" w:hAnsi="Arial" w:cs="Arial"/>
          <w:sz w:val="24"/>
          <w:szCs w:val="24"/>
        </w:rPr>
        <w:t xml:space="preserve"> </w:t>
      </w:r>
      <w:r>
        <w:rPr>
          <w:rFonts w:ascii="Arial" w:eastAsiaTheme="minorEastAsia" w:hAnsi="Arial" w:cs="Arial"/>
          <w:sz w:val="24"/>
          <w:szCs w:val="24"/>
          <w:lang w:val="en-US" w:eastAsia="ja-JP"/>
        </w:rPr>
        <w:t>Article 29</w:t>
      </w:r>
      <w:r w:rsidRPr="008864E1">
        <w:rPr>
          <w:rFonts w:ascii="Arial" w:eastAsiaTheme="minorEastAsia" w:hAnsi="Arial" w:cs="Arial"/>
          <w:sz w:val="24"/>
          <w:szCs w:val="24"/>
          <w:lang w:val="en-US" w:eastAsia="ja-JP"/>
        </w:rPr>
        <w:t>(1) of the SI states:</w:t>
      </w:r>
    </w:p>
    <w:p w14:paraId="6BA44EBD" w14:textId="77777777" w:rsidR="006B7A0D" w:rsidRPr="008864E1" w:rsidRDefault="006B7A0D" w:rsidP="006B7A0D">
      <w:pPr>
        <w:spacing w:after="0" w:line="240" w:lineRule="auto"/>
        <w:rPr>
          <w:rFonts w:ascii="Arial" w:eastAsiaTheme="minorEastAsia" w:hAnsi="Arial" w:cs="Arial"/>
          <w:sz w:val="24"/>
          <w:szCs w:val="24"/>
          <w:lang w:val="en-US" w:eastAsia="ja-JP"/>
        </w:rPr>
      </w:pPr>
    </w:p>
    <w:p w14:paraId="5591E223" w14:textId="706B4678" w:rsidR="006B7A0D" w:rsidRPr="006B7A0D" w:rsidRDefault="006B7A0D" w:rsidP="006B7A0D">
      <w:pPr>
        <w:widowControl w:val="0"/>
        <w:autoSpaceDE w:val="0"/>
        <w:autoSpaceDN w:val="0"/>
        <w:adjustRightInd w:val="0"/>
        <w:spacing w:after="0" w:line="240" w:lineRule="auto"/>
        <w:ind w:left="720"/>
        <w:rPr>
          <w:rFonts w:ascii="Arial" w:eastAsiaTheme="minorEastAsia" w:hAnsi="Arial" w:cs="Arial"/>
          <w:lang w:val="en-US" w:eastAsia="ja-JP"/>
        </w:rPr>
      </w:pPr>
      <w:r w:rsidRPr="006B7A0D">
        <w:rPr>
          <w:rFonts w:ascii="Arial" w:eastAsiaTheme="minorEastAsia" w:hAnsi="Arial" w:cs="Arial"/>
          <w:lang w:val="en-US" w:eastAsia="ja-JP"/>
        </w:rPr>
        <w:t>A creditor shall exercise reasonable forbearance before possession proceedings are initiated and shall, at a minimum, comply with the provisions of any code or similar measure put in place by the Central Bank on the handling of arrears.</w:t>
      </w:r>
    </w:p>
    <w:p w14:paraId="196D9E73" w14:textId="77777777" w:rsidR="006B7A0D" w:rsidRPr="008864E1" w:rsidRDefault="006B7A0D" w:rsidP="006B7A0D">
      <w:pPr>
        <w:widowControl w:val="0"/>
        <w:autoSpaceDE w:val="0"/>
        <w:autoSpaceDN w:val="0"/>
        <w:adjustRightInd w:val="0"/>
        <w:spacing w:after="0" w:line="240" w:lineRule="auto"/>
        <w:rPr>
          <w:rFonts w:ascii="Arial" w:eastAsiaTheme="minorEastAsia" w:hAnsi="Arial" w:cs="Arial"/>
          <w:i/>
          <w:sz w:val="24"/>
          <w:szCs w:val="24"/>
          <w:lang w:val="en-US" w:eastAsia="ja-JP"/>
        </w:rPr>
      </w:pPr>
    </w:p>
    <w:p w14:paraId="628FC87F" w14:textId="60E8F316" w:rsidR="006A07F2" w:rsidRPr="006B7A0D" w:rsidRDefault="006B7A0D" w:rsidP="006B7A0D">
      <w:pPr>
        <w:pStyle w:val="letter"/>
        <w:spacing w:before="0" w:beforeAutospacing="0" w:after="0" w:afterAutospacing="0"/>
        <w:rPr>
          <w:rFonts w:ascii="Arial" w:hAnsi="Arial"/>
          <w:sz w:val="24"/>
          <w:szCs w:val="24"/>
          <w:lang w:val="en-US" w:eastAsia="ja-JP"/>
        </w:rPr>
      </w:pPr>
      <w:r>
        <w:rPr>
          <w:rFonts w:ascii="Arial" w:hAnsi="Arial"/>
          <w:sz w:val="24"/>
          <w:szCs w:val="24"/>
          <w:lang w:val="en-US" w:eastAsia="ja-JP"/>
        </w:rPr>
        <w:t xml:space="preserve">There may be further potential to develop Charter rights </w:t>
      </w:r>
      <w:r w:rsidR="000B57E6">
        <w:rPr>
          <w:rFonts w:ascii="Arial" w:hAnsi="Arial"/>
          <w:sz w:val="24"/>
          <w:szCs w:val="24"/>
          <w:lang w:val="en-US" w:eastAsia="ja-JP"/>
        </w:rPr>
        <w:t xml:space="preserve">arising from </w:t>
      </w:r>
      <w:r>
        <w:rPr>
          <w:rFonts w:ascii="Arial" w:hAnsi="Arial"/>
          <w:sz w:val="24"/>
          <w:szCs w:val="24"/>
          <w:lang w:val="en-US" w:eastAsia="ja-JP"/>
        </w:rPr>
        <w:t>this EU law measure now di</w:t>
      </w:r>
      <w:r w:rsidR="000B57E6">
        <w:rPr>
          <w:rFonts w:ascii="Arial" w:hAnsi="Arial"/>
          <w:sz w:val="24"/>
          <w:szCs w:val="24"/>
          <w:lang w:val="en-US" w:eastAsia="ja-JP"/>
        </w:rPr>
        <w:t>rectly transposed into Irish law</w:t>
      </w:r>
      <w:r>
        <w:rPr>
          <w:rFonts w:ascii="Arial" w:hAnsi="Arial"/>
          <w:sz w:val="24"/>
          <w:szCs w:val="24"/>
          <w:lang w:val="en-US" w:eastAsia="ja-JP"/>
        </w:rPr>
        <w:t xml:space="preserve">. </w:t>
      </w:r>
    </w:p>
    <w:p w14:paraId="2FE2850C" w14:textId="2786EA1B" w:rsidR="00DF0725" w:rsidRPr="00113C90" w:rsidRDefault="00DF0725" w:rsidP="00113C90">
      <w:pPr>
        <w:spacing w:after="0" w:line="240" w:lineRule="auto"/>
        <w:rPr>
          <w:rFonts w:ascii="Arial" w:hAnsi="Arial" w:cs="Arial"/>
          <w:sz w:val="24"/>
          <w:szCs w:val="24"/>
        </w:rPr>
      </w:pPr>
      <w:r w:rsidRPr="00113C90">
        <w:rPr>
          <w:rFonts w:ascii="Arial" w:hAnsi="Arial" w:cs="Arial"/>
          <w:sz w:val="24"/>
          <w:szCs w:val="24"/>
        </w:rPr>
        <w:br w:type="page"/>
      </w:r>
    </w:p>
    <w:p w14:paraId="6B7660EF" w14:textId="3C8E74D0" w:rsidR="00DF0725" w:rsidRPr="008408E4" w:rsidRDefault="00DF0725" w:rsidP="00793B72">
      <w:pPr>
        <w:pStyle w:val="NormalWeb"/>
        <w:spacing w:before="0" w:beforeAutospacing="0" w:after="0" w:afterAutospacing="0"/>
        <w:rPr>
          <w:rFonts w:ascii="Arial" w:hAnsi="Arial" w:cs="Arial"/>
          <w:b/>
          <w:color w:val="000000" w:themeColor="text1"/>
          <w:sz w:val="20"/>
          <w:szCs w:val="20"/>
        </w:rPr>
      </w:pPr>
      <w:r w:rsidRPr="00BF0B3E">
        <w:rPr>
          <w:rFonts w:ascii="Arial" w:hAnsi="Arial" w:cs="Arial"/>
          <w:b/>
          <w:color w:val="000000" w:themeColor="text1"/>
          <w:sz w:val="28"/>
          <w:szCs w:val="28"/>
        </w:rPr>
        <w:t xml:space="preserve">EU </w:t>
      </w:r>
      <w:r w:rsidR="00160C04" w:rsidRPr="00BF0B3E">
        <w:rPr>
          <w:rFonts w:ascii="Arial" w:hAnsi="Arial" w:cs="Arial"/>
          <w:b/>
          <w:color w:val="000000" w:themeColor="text1"/>
          <w:sz w:val="28"/>
          <w:szCs w:val="28"/>
        </w:rPr>
        <w:t>Charter</w:t>
      </w:r>
      <w:r w:rsidRPr="00BF0B3E">
        <w:rPr>
          <w:rFonts w:ascii="Arial" w:hAnsi="Arial" w:cs="Arial"/>
          <w:b/>
          <w:color w:val="000000" w:themeColor="text1"/>
          <w:sz w:val="28"/>
          <w:szCs w:val="28"/>
        </w:rPr>
        <w:t xml:space="preserve"> of Fundamental Rights</w:t>
      </w:r>
      <w:r w:rsidR="00E24AC1" w:rsidRPr="00BF0B3E">
        <w:rPr>
          <w:rFonts w:ascii="Arial" w:hAnsi="Arial" w:cs="Arial"/>
          <w:b/>
          <w:color w:val="000000" w:themeColor="text1"/>
          <w:sz w:val="28"/>
          <w:szCs w:val="28"/>
        </w:rPr>
        <w:t xml:space="preserve"> </w:t>
      </w:r>
      <w:r w:rsidR="00BF0B3E" w:rsidRPr="00BF0B3E">
        <w:rPr>
          <w:rFonts w:ascii="Arial" w:hAnsi="Arial" w:cs="Arial"/>
          <w:b/>
          <w:color w:val="000000" w:themeColor="text1"/>
          <w:sz w:val="28"/>
          <w:szCs w:val="28"/>
        </w:rPr>
        <w:t>(</w:t>
      </w:r>
      <w:r w:rsidR="00E24AC1" w:rsidRPr="00BF0B3E">
        <w:rPr>
          <w:rFonts w:ascii="Arial" w:hAnsi="Arial" w:cs="Arial"/>
          <w:b/>
          <w:color w:val="000000" w:themeColor="text1"/>
          <w:sz w:val="28"/>
          <w:szCs w:val="28"/>
        </w:rPr>
        <w:t>OJ. 2007/C 303/01</w:t>
      </w:r>
      <w:r w:rsidR="00BF0B3E" w:rsidRPr="00BF0B3E">
        <w:rPr>
          <w:rFonts w:ascii="Arial" w:hAnsi="Arial" w:cs="Arial"/>
          <w:b/>
          <w:color w:val="000000" w:themeColor="text1"/>
          <w:sz w:val="28"/>
          <w:szCs w:val="28"/>
        </w:rPr>
        <w:t>)</w:t>
      </w:r>
      <w:r w:rsidR="00793B72" w:rsidRPr="008408E4">
        <w:rPr>
          <w:rFonts w:ascii="Arial" w:hAnsi="Arial" w:cs="Arial"/>
          <w:b/>
          <w:color w:val="000000" w:themeColor="text1"/>
          <w:sz w:val="20"/>
          <w:szCs w:val="20"/>
        </w:rPr>
        <w:t xml:space="preserve"> </w:t>
      </w:r>
    </w:p>
    <w:p w14:paraId="45B14D76" w14:textId="5783708C" w:rsidR="00793B72" w:rsidRDefault="00215B70" w:rsidP="00793B72">
      <w:pPr>
        <w:pStyle w:val="NormalWeb"/>
        <w:spacing w:before="0" w:beforeAutospacing="0" w:after="0" w:afterAutospacing="0"/>
        <w:rPr>
          <w:rFonts w:ascii="Arial" w:hAnsi="Arial" w:cs="Arial"/>
          <w:b/>
          <w:color w:val="000000" w:themeColor="text1"/>
          <w:sz w:val="28"/>
          <w:szCs w:val="28"/>
        </w:rPr>
      </w:pPr>
      <w:hyperlink r:id="rId17" w:history="1">
        <w:r w:rsidR="00793B72" w:rsidRPr="00833A85">
          <w:rPr>
            <w:rStyle w:val="Hyperlink"/>
            <w:rFonts w:ascii="Arial" w:hAnsi="Arial" w:cs="Arial"/>
            <w:b/>
            <w:sz w:val="28"/>
            <w:szCs w:val="28"/>
          </w:rPr>
          <w:t>http://eur-lex.europa.eu/legal-content/EN/TXT/PDF/?uri=CELEX:12010P&amp;from=EN</w:t>
        </w:r>
      </w:hyperlink>
    </w:p>
    <w:p w14:paraId="60D7E9AF" w14:textId="77777777" w:rsidR="00793B72" w:rsidRDefault="00793B72" w:rsidP="00793B72">
      <w:pPr>
        <w:pStyle w:val="NormalWeb"/>
        <w:spacing w:before="0" w:beforeAutospacing="0" w:after="0" w:afterAutospacing="0"/>
        <w:rPr>
          <w:rFonts w:ascii="Arial" w:hAnsi="Arial" w:cs="Arial"/>
          <w:b/>
          <w:color w:val="000000" w:themeColor="text1"/>
          <w:sz w:val="28"/>
          <w:szCs w:val="28"/>
        </w:rPr>
      </w:pPr>
    </w:p>
    <w:p w14:paraId="0B95CD07" w14:textId="77777777" w:rsidR="0005694C" w:rsidRPr="00113C90" w:rsidRDefault="0005694C" w:rsidP="00113C90">
      <w:pPr>
        <w:pStyle w:val="NormalWeb"/>
        <w:spacing w:before="0" w:beforeAutospacing="0" w:after="0" w:afterAutospacing="0"/>
        <w:rPr>
          <w:rFonts w:ascii="Arial" w:hAnsi="Arial" w:cs="Arial"/>
          <w:b/>
          <w:color w:val="000000" w:themeColor="text1"/>
        </w:rPr>
      </w:pPr>
    </w:p>
    <w:p w14:paraId="23CCCBD8" w14:textId="77777777" w:rsidR="00DF0725" w:rsidRPr="00113C90" w:rsidRDefault="00215B70" w:rsidP="00113C90">
      <w:pPr>
        <w:pStyle w:val="NormalWeb"/>
        <w:spacing w:before="0" w:beforeAutospacing="0" w:after="0" w:afterAutospacing="0"/>
        <w:rPr>
          <w:rStyle w:val="Strong"/>
          <w:rFonts w:ascii="Arial" w:eastAsiaTheme="majorEastAsia" w:hAnsi="Arial" w:cs="Arial"/>
          <w:b w:val="0"/>
          <w:bCs w:val="0"/>
          <w:color w:val="000000" w:themeColor="text1"/>
          <w:u w:val="single"/>
        </w:rPr>
      </w:pPr>
      <w:hyperlink r:id="rId18" w:history="1">
        <w:r w:rsidR="00DF0725" w:rsidRPr="00113C90">
          <w:rPr>
            <w:rStyle w:val="Strong"/>
            <w:rFonts w:ascii="Arial" w:eastAsiaTheme="majorEastAsia" w:hAnsi="Arial" w:cs="Arial"/>
            <w:b w:val="0"/>
            <w:bCs w:val="0"/>
            <w:color w:val="000000" w:themeColor="text1"/>
            <w:u w:val="single"/>
          </w:rPr>
          <w:t>PREAMBLE</w:t>
        </w:r>
      </w:hyperlink>
    </w:p>
    <w:p w14:paraId="1C4714B7" w14:textId="77777777" w:rsidR="0005694C" w:rsidRPr="00113C90" w:rsidRDefault="0005694C" w:rsidP="00113C90">
      <w:pPr>
        <w:pStyle w:val="NormalWeb"/>
        <w:spacing w:before="0" w:beforeAutospacing="0" w:after="0" w:afterAutospacing="0"/>
        <w:rPr>
          <w:rFonts w:ascii="Arial" w:hAnsi="Arial" w:cs="Arial"/>
          <w:color w:val="000000" w:themeColor="text1"/>
        </w:rPr>
      </w:pPr>
    </w:p>
    <w:p w14:paraId="02B4F118" w14:textId="77777777" w:rsidR="00DF0725" w:rsidRPr="00113C90" w:rsidRDefault="00DF0725" w:rsidP="00113C90">
      <w:pPr>
        <w:pStyle w:val="NormalWeb"/>
        <w:spacing w:before="0" w:beforeAutospacing="0" w:after="0" w:afterAutospacing="0"/>
        <w:rPr>
          <w:rFonts w:ascii="Arial" w:hAnsi="Arial" w:cs="Arial"/>
          <w:color w:val="000000" w:themeColor="text1"/>
        </w:rPr>
      </w:pPr>
      <w:r w:rsidRPr="00113C90">
        <w:rPr>
          <w:rFonts w:ascii="Arial" w:hAnsi="Arial" w:cs="Arial"/>
          <w:color w:val="000000" w:themeColor="text1"/>
        </w:rPr>
        <w:t xml:space="preserve">TITLE I - </w:t>
      </w:r>
      <w:hyperlink r:id="rId19" w:history="1">
        <w:r w:rsidRPr="00113C90">
          <w:rPr>
            <w:rStyle w:val="Strong"/>
            <w:rFonts w:ascii="Arial" w:eastAsiaTheme="majorEastAsia" w:hAnsi="Arial" w:cs="Arial"/>
            <w:b w:val="0"/>
            <w:bCs w:val="0"/>
            <w:color w:val="000000" w:themeColor="text1"/>
            <w:u w:val="single"/>
          </w:rPr>
          <w:t>DIGNITY</w:t>
        </w:r>
      </w:hyperlink>
    </w:p>
    <w:p w14:paraId="7291CE1A" w14:textId="77777777" w:rsidR="00DF0725" w:rsidRPr="00113C90" w:rsidRDefault="00DF0725" w:rsidP="00113C90">
      <w:pPr>
        <w:spacing w:after="0" w:line="240" w:lineRule="auto"/>
        <w:rPr>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1 - </w:t>
      </w:r>
      <w:hyperlink r:id="rId20" w:history="1">
        <w:r w:rsidRPr="00113C90">
          <w:rPr>
            <w:rStyle w:val="Strong"/>
            <w:rFonts w:ascii="Arial" w:eastAsia="Times New Roman" w:hAnsi="Arial" w:cs="Arial"/>
            <w:b w:val="0"/>
            <w:bCs w:val="0"/>
            <w:color w:val="000000" w:themeColor="text1"/>
            <w:sz w:val="24"/>
            <w:szCs w:val="24"/>
            <w:u w:val="single"/>
          </w:rPr>
          <w:t>Human dignity</w:t>
        </w:r>
      </w:hyperlink>
      <w:r w:rsidRPr="00113C90">
        <w:rPr>
          <w:rFonts w:ascii="Arial" w:eastAsia="Times New Roman" w:hAnsi="Arial" w:cs="Arial"/>
          <w:color w:val="000000" w:themeColor="text1"/>
          <w:sz w:val="24"/>
          <w:szCs w:val="24"/>
        </w:rPr>
        <w:t xml:space="preserve"> </w:t>
      </w:r>
    </w:p>
    <w:p w14:paraId="5E9CB7FA" w14:textId="77777777" w:rsidR="00DF0725" w:rsidRPr="00113C90" w:rsidRDefault="00DF0725" w:rsidP="00113C90">
      <w:pPr>
        <w:spacing w:after="0" w:line="240" w:lineRule="auto"/>
        <w:rPr>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2 - </w:t>
      </w:r>
      <w:hyperlink r:id="rId21" w:history="1">
        <w:r w:rsidRPr="00113C90">
          <w:rPr>
            <w:rStyle w:val="Strong"/>
            <w:rFonts w:ascii="Arial" w:eastAsia="Times New Roman" w:hAnsi="Arial" w:cs="Arial"/>
            <w:b w:val="0"/>
            <w:bCs w:val="0"/>
            <w:color w:val="000000" w:themeColor="text1"/>
            <w:sz w:val="24"/>
            <w:szCs w:val="24"/>
            <w:u w:val="single"/>
          </w:rPr>
          <w:t>Right to life</w:t>
        </w:r>
      </w:hyperlink>
    </w:p>
    <w:p w14:paraId="3D4ADE64" w14:textId="77777777" w:rsidR="00DF0725" w:rsidRPr="00113C90" w:rsidRDefault="00DF0725" w:rsidP="00113C90">
      <w:pPr>
        <w:spacing w:after="0" w:line="240" w:lineRule="auto"/>
        <w:rPr>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3 - </w:t>
      </w:r>
      <w:hyperlink r:id="rId22" w:history="1">
        <w:r w:rsidRPr="00113C90">
          <w:rPr>
            <w:rStyle w:val="Hyperlink"/>
            <w:rFonts w:ascii="Arial" w:eastAsia="Times New Roman" w:hAnsi="Arial" w:cs="Arial"/>
            <w:color w:val="000000" w:themeColor="text1"/>
            <w:sz w:val="24"/>
            <w:szCs w:val="24"/>
          </w:rPr>
          <w:t>Right to the integrity of the person</w:t>
        </w:r>
      </w:hyperlink>
    </w:p>
    <w:p w14:paraId="7C4283BB" w14:textId="77777777" w:rsidR="00DF0725" w:rsidRPr="00113C90" w:rsidRDefault="00DF0725" w:rsidP="00113C90">
      <w:pPr>
        <w:spacing w:after="0" w:line="240" w:lineRule="auto"/>
        <w:rPr>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4 - </w:t>
      </w:r>
      <w:hyperlink r:id="rId23" w:history="1">
        <w:r w:rsidRPr="00113C90">
          <w:rPr>
            <w:rStyle w:val="Strong"/>
            <w:rFonts w:ascii="Arial" w:eastAsia="Times New Roman" w:hAnsi="Arial" w:cs="Arial"/>
            <w:b w:val="0"/>
            <w:bCs w:val="0"/>
            <w:color w:val="000000" w:themeColor="text1"/>
            <w:sz w:val="24"/>
            <w:szCs w:val="24"/>
            <w:u w:val="single"/>
          </w:rPr>
          <w:t>Prohibition of torture and inhuman or degrading treatment or punishment</w:t>
        </w:r>
      </w:hyperlink>
    </w:p>
    <w:p w14:paraId="1EC4A23C" w14:textId="77777777" w:rsidR="00DF0725" w:rsidRPr="00113C90" w:rsidRDefault="00DF0725" w:rsidP="00113C90">
      <w:pPr>
        <w:spacing w:after="0" w:line="240" w:lineRule="auto"/>
        <w:rPr>
          <w:rStyle w:val="Strong"/>
          <w:rFonts w:ascii="Arial" w:eastAsia="Times New Roman" w:hAnsi="Arial" w:cs="Arial"/>
          <w:b w:val="0"/>
          <w:bCs w:val="0"/>
          <w:color w:val="000000" w:themeColor="text1"/>
          <w:sz w:val="24"/>
          <w:szCs w:val="24"/>
          <w:u w:val="single"/>
        </w:rPr>
      </w:pPr>
      <w:r w:rsidRPr="00113C90">
        <w:rPr>
          <w:rFonts w:ascii="Arial" w:eastAsia="Times New Roman" w:hAnsi="Arial" w:cs="Arial"/>
          <w:color w:val="000000" w:themeColor="text1"/>
          <w:sz w:val="24"/>
          <w:szCs w:val="24"/>
        </w:rPr>
        <w:t xml:space="preserve">Article 5 - </w:t>
      </w:r>
      <w:hyperlink r:id="rId24" w:history="1">
        <w:r w:rsidRPr="00113C90">
          <w:rPr>
            <w:rStyle w:val="Strong"/>
            <w:rFonts w:ascii="Arial" w:eastAsia="Times New Roman" w:hAnsi="Arial" w:cs="Arial"/>
            <w:b w:val="0"/>
            <w:bCs w:val="0"/>
            <w:color w:val="000000" w:themeColor="text1"/>
            <w:sz w:val="24"/>
            <w:szCs w:val="24"/>
            <w:u w:val="single"/>
          </w:rPr>
          <w:t>Prohibition of slavery and forced labour</w:t>
        </w:r>
      </w:hyperlink>
    </w:p>
    <w:p w14:paraId="0CE730C8" w14:textId="77777777" w:rsidR="0005694C" w:rsidRPr="00113C90" w:rsidRDefault="0005694C" w:rsidP="00113C90">
      <w:pPr>
        <w:spacing w:after="0" w:line="240" w:lineRule="auto"/>
        <w:rPr>
          <w:rFonts w:ascii="Arial" w:eastAsia="Times New Roman" w:hAnsi="Arial" w:cs="Arial"/>
          <w:color w:val="000000" w:themeColor="text1"/>
          <w:sz w:val="24"/>
          <w:szCs w:val="24"/>
        </w:rPr>
      </w:pPr>
    </w:p>
    <w:p w14:paraId="789090AA" w14:textId="77777777" w:rsidR="00DF0725" w:rsidRPr="00113C90" w:rsidRDefault="00DF0725" w:rsidP="00113C90">
      <w:pPr>
        <w:pStyle w:val="NormalWeb"/>
        <w:spacing w:before="0" w:beforeAutospacing="0" w:after="0" w:afterAutospacing="0"/>
        <w:rPr>
          <w:rFonts w:ascii="Arial" w:eastAsiaTheme="minorHAnsi" w:hAnsi="Arial" w:cs="Arial"/>
          <w:color w:val="000000" w:themeColor="text1"/>
        </w:rPr>
      </w:pPr>
      <w:r w:rsidRPr="00113C90">
        <w:rPr>
          <w:rFonts w:ascii="Arial" w:hAnsi="Arial" w:cs="Arial"/>
          <w:color w:val="000000" w:themeColor="text1"/>
        </w:rPr>
        <w:t xml:space="preserve">TITLE II - </w:t>
      </w:r>
      <w:hyperlink r:id="rId25" w:history="1">
        <w:r w:rsidRPr="00113C90">
          <w:rPr>
            <w:rStyle w:val="Hyperlink"/>
            <w:rFonts w:ascii="Arial" w:hAnsi="Arial" w:cs="Arial"/>
            <w:color w:val="000000" w:themeColor="text1"/>
          </w:rPr>
          <w:t>FREEDOMS</w:t>
        </w:r>
      </w:hyperlink>
    </w:p>
    <w:p w14:paraId="5D0AC4CA" w14:textId="77777777" w:rsidR="00DF0725" w:rsidRPr="00113C90" w:rsidRDefault="00DF0725" w:rsidP="00113C90">
      <w:pPr>
        <w:spacing w:after="0" w:line="240" w:lineRule="auto"/>
        <w:rPr>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6 - </w:t>
      </w:r>
      <w:hyperlink r:id="rId26" w:history="1">
        <w:r w:rsidRPr="00113C90">
          <w:rPr>
            <w:rStyle w:val="Hyperlink"/>
            <w:rFonts w:ascii="Arial" w:eastAsia="Times New Roman" w:hAnsi="Arial" w:cs="Arial"/>
            <w:color w:val="000000" w:themeColor="text1"/>
            <w:sz w:val="24"/>
            <w:szCs w:val="24"/>
          </w:rPr>
          <w:t>Right to liberty and security</w:t>
        </w:r>
      </w:hyperlink>
    </w:p>
    <w:p w14:paraId="012C5D1E" w14:textId="77777777" w:rsidR="00DF0725" w:rsidRPr="00113C90" w:rsidRDefault="00DF0725" w:rsidP="00113C90">
      <w:pPr>
        <w:spacing w:after="0" w:line="240" w:lineRule="auto"/>
        <w:rPr>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7 - </w:t>
      </w:r>
      <w:hyperlink r:id="rId27" w:history="1">
        <w:r w:rsidRPr="00113C90">
          <w:rPr>
            <w:rStyle w:val="Hyperlink"/>
            <w:rFonts w:ascii="Arial" w:eastAsia="Times New Roman" w:hAnsi="Arial" w:cs="Arial"/>
            <w:color w:val="000000" w:themeColor="text1"/>
            <w:sz w:val="24"/>
            <w:szCs w:val="24"/>
          </w:rPr>
          <w:t>Respect for private and family life</w:t>
        </w:r>
      </w:hyperlink>
    </w:p>
    <w:p w14:paraId="1DFCF24F" w14:textId="77777777" w:rsidR="00DF0725" w:rsidRPr="00113C90" w:rsidRDefault="00DF0725" w:rsidP="00113C90">
      <w:pPr>
        <w:spacing w:after="0" w:line="240" w:lineRule="auto"/>
        <w:rPr>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8 - </w:t>
      </w:r>
      <w:hyperlink r:id="rId28" w:history="1">
        <w:r w:rsidRPr="00113C90">
          <w:rPr>
            <w:rStyle w:val="Hyperlink"/>
            <w:rFonts w:ascii="Arial" w:eastAsia="Times New Roman" w:hAnsi="Arial" w:cs="Arial"/>
            <w:color w:val="000000" w:themeColor="text1"/>
            <w:sz w:val="24"/>
            <w:szCs w:val="24"/>
          </w:rPr>
          <w:t>Protection of personal data</w:t>
        </w:r>
      </w:hyperlink>
    </w:p>
    <w:p w14:paraId="0BE89333" w14:textId="77777777" w:rsidR="00DF0725" w:rsidRPr="00113C90" w:rsidRDefault="00DF0725" w:rsidP="00113C90">
      <w:pPr>
        <w:spacing w:after="0" w:line="240" w:lineRule="auto"/>
        <w:rPr>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9 - </w:t>
      </w:r>
      <w:hyperlink r:id="rId29" w:history="1">
        <w:r w:rsidRPr="00113C90">
          <w:rPr>
            <w:rStyle w:val="Hyperlink"/>
            <w:rFonts w:ascii="Arial" w:eastAsia="Times New Roman" w:hAnsi="Arial" w:cs="Arial"/>
            <w:color w:val="000000" w:themeColor="text1"/>
            <w:sz w:val="24"/>
            <w:szCs w:val="24"/>
          </w:rPr>
          <w:t>Right to marry and right to found a family</w:t>
        </w:r>
      </w:hyperlink>
    </w:p>
    <w:p w14:paraId="7463C9FA" w14:textId="77777777" w:rsidR="00DF0725" w:rsidRPr="00113C90" w:rsidRDefault="00DF0725" w:rsidP="00113C90">
      <w:pPr>
        <w:spacing w:after="0" w:line="240" w:lineRule="auto"/>
        <w:rPr>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10 - </w:t>
      </w:r>
      <w:hyperlink r:id="rId30" w:history="1">
        <w:r w:rsidRPr="00113C90">
          <w:rPr>
            <w:rStyle w:val="Hyperlink"/>
            <w:rFonts w:ascii="Arial" w:eastAsia="Times New Roman" w:hAnsi="Arial" w:cs="Arial"/>
            <w:color w:val="000000" w:themeColor="text1"/>
            <w:sz w:val="24"/>
            <w:szCs w:val="24"/>
          </w:rPr>
          <w:t>Freedom of thought, conscience and religion</w:t>
        </w:r>
      </w:hyperlink>
    </w:p>
    <w:p w14:paraId="33487817" w14:textId="77777777" w:rsidR="00DF0725" w:rsidRPr="00113C90" w:rsidRDefault="00DF0725" w:rsidP="00113C90">
      <w:pPr>
        <w:spacing w:after="0" w:line="240" w:lineRule="auto"/>
        <w:rPr>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11 - </w:t>
      </w:r>
      <w:hyperlink r:id="rId31" w:history="1">
        <w:r w:rsidRPr="00113C90">
          <w:rPr>
            <w:rStyle w:val="Hyperlink"/>
            <w:rFonts w:ascii="Arial" w:eastAsia="Times New Roman" w:hAnsi="Arial" w:cs="Arial"/>
            <w:color w:val="000000" w:themeColor="text1"/>
            <w:sz w:val="24"/>
            <w:szCs w:val="24"/>
          </w:rPr>
          <w:t>Freedom of expression and information</w:t>
        </w:r>
      </w:hyperlink>
    </w:p>
    <w:p w14:paraId="7E33DAC0" w14:textId="77777777" w:rsidR="00DF0725" w:rsidRPr="00113C90" w:rsidRDefault="00DF0725" w:rsidP="00113C90">
      <w:pPr>
        <w:spacing w:after="0" w:line="240" w:lineRule="auto"/>
        <w:rPr>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12 - </w:t>
      </w:r>
      <w:hyperlink r:id="rId32" w:history="1">
        <w:r w:rsidRPr="00113C90">
          <w:rPr>
            <w:rStyle w:val="Hyperlink"/>
            <w:rFonts w:ascii="Arial" w:eastAsia="Times New Roman" w:hAnsi="Arial" w:cs="Arial"/>
            <w:color w:val="000000" w:themeColor="text1"/>
            <w:sz w:val="24"/>
            <w:szCs w:val="24"/>
          </w:rPr>
          <w:t>Freedom of assembly and of association</w:t>
        </w:r>
      </w:hyperlink>
    </w:p>
    <w:p w14:paraId="265BF422" w14:textId="77777777" w:rsidR="00DF0725" w:rsidRPr="00113C90" w:rsidRDefault="00DF0725" w:rsidP="00113C90">
      <w:pPr>
        <w:spacing w:after="0" w:line="240" w:lineRule="auto"/>
        <w:rPr>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13 - </w:t>
      </w:r>
      <w:hyperlink r:id="rId33" w:history="1">
        <w:r w:rsidRPr="00113C90">
          <w:rPr>
            <w:rStyle w:val="Hyperlink"/>
            <w:rFonts w:ascii="Arial" w:eastAsia="Times New Roman" w:hAnsi="Arial" w:cs="Arial"/>
            <w:color w:val="000000" w:themeColor="text1"/>
            <w:sz w:val="24"/>
            <w:szCs w:val="24"/>
          </w:rPr>
          <w:t>Freedom of the arts and sciences</w:t>
        </w:r>
      </w:hyperlink>
    </w:p>
    <w:p w14:paraId="30B183E9" w14:textId="77777777" w:rsidR="00DF0725" w:rsidRPr="00113C90" w:rsidRDefault="00DF0725" w:rsidP="00113C90">
      <w:pPr>
        <w:spacing w:after="0" w:line="240" w:lineRule="auto"/>
        <w:rPr>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14 - </w:t>
      </w:r>
      <w:hyperlink r:id="rId34" w:history="1">
        <w:r w:rsidRPr="00113C90">
          <w:rPr>
            <w:rStyle w:val="Hyperlink"/>
            <w:rFonts w:ascii="Arial" w:eastAsia="Times New Roman" w:hAnsi="Arial" w:cs="Arial"/>
            <w:color w:val="000000" w:themeColor="text1"/>
            <w:sz w:val="24"/>
            <w:szCs w:val="24"/>
          </w:rPr>
          <w:t>Right to education</w:t>
        </w:r>
      </w:hyperlink>
    </w:p>
    <w:p w14:paraId="251E4708" w14:textId="77777777" w:rsidR="00DF0725" w:rsidRPr="00113C90" w:rsidRDefault="00DF0725" w:rsidP="00113C90">
      <w:pPr>
        <w:spacing w:after="0" w:line="240" w:lineRule="auto"/>
        <w:rPr>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15 - </w:t>
      </w:r>
      <w:hyperlink r:id="rId35" w:history="1">
        <w:r w:rsidRPr="00113C90">
          <w:rPr>
            <w:rStyle w:val="Hyperlink"/>
            <w:rFonts w:ascii="Arial" w:eastAsia="Times New Roman" w:hAnsi="Arial" w:cs="Arial"/>
            <w:color w:val="000000" w:themeColor="text1"/>
            <w:sz w:val="24"/>
            <w:szCs w:val="24"/>
          </w:rPr>
          <w:t>Freedom to choose an occupation and right to engage in work</w:t>
        </w:r>
      </w:hyperlink>
    </w:p>
    <w:p w14:paraId="1597B907" w14:textId="77777777" w:rsidR="00DF0725" w:rsidRPr="00113C90" w:rsidRDefault="00DF0725" w:rsidP="00113C90">
      <w:pPr>
        <w:spacing w:after="0" w:line="240" w:lineRule="auto"/>
        <w:rPr>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16 - </w:t>
      </w:r>
      <w:hyperlink r:id="rId36" w:history="1">
        <w:r w:rsidRPr="00113C90">
          <w:rPr>
            <w:rStyle w:val="Hyperlink"/>
            <w:rFonts w:ascii="Arial" w:eastAsia="Times New Roman" w:hAnsi="Arial" w:cs="Arial"/>
            <w:color w:val="000000" w:themeColor="text1"/>
            <w:sz w:val="24"/>
            <w:szCs w:val="24"/>
          </w:rPr>
          <w:t>Freedom to conduct a business</w:t>
        </w:r>
      </w:hyperlink>
    </w:p>
    <w:p w14:paraId="78A20114" w14:textId="77777777" w:rsidR="00DF0725" w:rsidRPr="00113C90" w:rsidRDefault="00DF0725" w:rsidP="00113C90">
      <w:pPr>
        <w:spacing w:after="0" w:line="240" w:lineRule="auto"/>
        <w:rPr>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17 - </w:t>
      </w:r>
      <w:hyperlink r:id="rId37" w:history="1">
        <w:r w:rsidRPr="00113C90">
          <w:rPr>
            <w:rStyle w:val="Hyperlink"/>
            <w:rFonts w:ascii="Arial" w:eastAsia="Times New Roman" w:hAnsi="Arial" w:cs="Arial"/>
            <w:color w:val="000000" w:themeColor="text1"/>
            <w:sz w:val="24"/>
            <w:szCs w:val="24"/>
          </w:rPr>
          <w:t>Right to property</w:t>
        </w:r>
      </w:hyperlink>
    </w:p>
    <w:p w14:paraId="7A105DAA" w14:textId="77777777" w:rsidR="00DF0725" w:rsidRPr="00113C90" w:rsidRDefault="00DF0725" w:rsidP="00113C90">
      <w:pPr>
        <w:spacing w:after="0" w:line="240" w:lineRule="auto"/>
        <w:rPr>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18 - </w:t>
      </w:r>
      <w:hyperlink r:id="rId38" w:history="1">
        <w:r w:rsidRPr="00113C90">
          <w:rPr>
            <w:rStyle w:val="Hyperlink"/>
            <w:rFonts w:ascii="Arial" w:eastAsia="Times New Roman" w:hAnsi="Arial" w:cs="Arial"/>
            <w:color w:val="000000" w:themeColor="text1"/>
            <w:sz w:val="24"/>
            <w:szCs w:val="24"/>
          </w:rPr>
          <w:t>Right to asylum</w:t>
        </w:r>
      </w:hyperlink>
    </w:p>
    <w:p w14:paraId="60E63745" w14:textId="77777777" w:rsidR="00DF0725" w:rsidRPr="00113C90" w:rsidRDefault="00DF0725" w:rsidP="00113C90">
      <w:pPr>
        <w:spacing w:after="0" w:line="240" w:lineRule="auto"/>
        <w:rPr>
          <w:rStyle w:val="Hyperlink"/>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19 - </w:t>
      </w:r>
      <w:hyperlink r:id="rId39" w:history="1">
        <w:r w:rsidRPr="00113C90">
          <w:rPr>
            <w:rStyle w:val="Hyperlink"/>
            <w:rFonts w:ascii="Arial" w:eastAsia="Times New Roman" w:hAnsi="Arial" w:cs="Arial"/>
            <w:color w:val="000000" w:themeColor="text1"/>
            <w:sz w:val="24"/>
            <w:szCs w:val="24"/>
          </w:rPr>
          <w:t>Protection in the event of removal, expulsion or extradition</w:t>
        </w:r>
      </w:hyperlink>
    </w:p>
    <w:p w14:paraId="6DF282D3" w14:textId="77777777" w:rsidR="0005694C" w:rsidRPr="00113C90" w:rsidRDefault="0005694C" w:rsidP="00113C90">
      <w:pPr>
        <w:spacing w:after="0" w:line="240" w:lineRule="auto"/>
        <w:rPr>
          <w:rFonts w:ascii="Arial" w:eastAsia="Times New Roman" w:hAnsi="Arial" w:cs="Arial"/>
          <w:color w:val="000000" w:themeColor="text1"/>
          <w:sz w:val="24"/>
          <w:szCs w:val="24"/>
        </w:rPr>
      </w:pPr>
    </w:p>
    <w:p w14:paraId="7AE33D49" w14:textId="77777777" w:rsidR="00DF0725" w:rsidRPr="00113C90" w:rsidRDefault="00DF0725" w:rsidP="00113C90">
      <w:pPr>
        <w:pStyle w:val="NormalWeb"/>
        <w:spacing w:before="0" w:beforeAutospacing="0" w:after="0" w:afterAutospacing="0"/>
        <w:rPr>
          <w:rFonts w:ascii="Arial" w:eastAsiaTheme="minorHAnsi" w:hAnsi="Arial" w:cs="Arial"/>
          <w:color w:val="000000" w:themeColor="text1"/>
        </w:rPr>
      </w:pPr>
      <w:r w:rsidRPr="00113C90">
        <w:rPr>
          <w:rFonts w:ascii="Arial" w:hAnsi="Arial" w:cs="Arial"/>
          <w:color w:val="000000" w:themeColor="text1"/>
        </w:rPr>
        <w:t xml:space="preserve">TITLE III - </w:t>
      </w:r>
      <w:hyperlink r:id="rId40" w:history="1">
        <w:r w:rsidRPr="00113C90">
          <w:rPr>
            <w:rStyle w:val="Hyperlink"/>
            <w:rFonts w:ascii="Arial" w:hAnsi="Arial" w:cs="Arial"/>
            <w:color w:val="000000" w:themeColor="text1"/>
          </w:rPr>
          <w:t>EQUALITY</w:t>
        </w:r>
      </w:hyperlink>
    </w:p>
    <w:p w14:paraId="7AB316F2" w14:textId="77777777" w:rsidR="00DF0725" w:rsidRPr="00113C90" w:rsidRDefault="00DF0725" w:rsidP="00113C90">
      <w:pPr>
        <w:spacing w:after="0" w:line="240" w:lineRule="auto"/>
        <w:rPr>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20 - </w:t>
      </w:r>
      <w:hyperlink r:id="rId41" w:history="1">
        <w:r w:rsidRPr="00113C90">
          <w:rPr>
            <w:rStyle w:val="Hyperlink"/>
            <w:rFonts w:ascii="Arial" w:eastAsia="Times New Roman" w:hAnsi="Arial" w:cs="Arial"/>
            <w:color w:val="000000" w:themeColor="text1"/>
            <w:sz w:val="24"/>
            <w:szCs w:val="24"/>
          </w:rPr>
          <w:t>Equality before the law</w:t>
        </w:r>
      </w:hyperlink>
    </w:p>
    <w:p w14:paraId="438444D0" w14:textId="77777777" w:rsidR="00DF0725" w:rsidRPr="00113C90" w:rsidRDefault="00DF0725" w:rsidP="00113C90">
      <w:pPr>
        <w:spacing w:after="0" w:line="240" w:lineRule="auto"/>
        <w:rPr>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21 - </w:t>
      </w:r>
      <w:hyperlink r:id="rId42" w:history="1">
        <w:r w:rsidRPr="00113C90">
          <w:rPr>
            <w:rStyle w:val="Hyperlink"/>
            <w:rFonts w:ascii="Arial" w:eastAsia="Times New Roman" w:hAnsi="Arial" w:cs="Arial"/>
            <w:color w:val="000000" w:themeColor="text1"/>
            <w:sz w:val="24"/>
            <w:szCs w:val="24"/>
          </w:rPr>
          <w:t>Non-discrimination</w:t>
        </w:r>
      </w:hyperlink>
    </w:p>
    <w:p w14:paraId="4450C5FD" w14:textId="77777777" w:rsidR="00DF0725" w:rsidRPr="00113C90" w:rsidRDefault="00DF0725" w:rsidP="00113C90">
      <w:pPr>
        <w:spacing w:after="0" w:line="240" w:lineRule="auto"/>
        <w:rPr>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22 - </w:t>
      </w:r>
      <w:hyperlink r:id="rId43" w:history="1">
        <w:r w:rsidRPr="00113C90">
          <w:rPr>
            <w:rStyle w:val="Hyperlink"/>
            <w:rFonts w:ascii="Arial" w:eastAsia="Times New Roman" w:hAnsi="Arial" w:cs="Arial"/>
            <w:color w:val="000000" w:themeColor="text1"/>
            <w:sz w:val="24"/>
            <w:szCs w:val="24"/>
          </w:rPr>
          <w:t>Cultural, religious and linguistic diversity</w:t>
        </w:r>
      </w:hyperlink>
    </w:p>
    <w:p w14:paraId="69C8605C" w14:textId="77777777" w:rsidR="00DF0725" w:rsidRPr="00113C90" w:rsidRDefault="00DF0725" w:rsidP="00113C90">
      <w:pPr>
        <w:spacing w:after="0" w:line="240" w:lineRule="auto"/>
        <w:rPr>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23 - </w:t>
      </w:r>
      <w:hyperlink r:id="rId44" w:history="1">
        <w:r w:rsidRPr="00113C90">
          <w:rPr>
            <w:rStyle w:val="Hyperlink"/>
            <w:rFonts w:ascii="Arial" w:eastAsia="Times New Roman" w:hAnsi="Arial" w:cs="Arial"/>
            <w:color w:val="000000" w:themeColor="text1"/>
            <w:sz w:val="24"/>
            <w:szCs w:val="24"/>
          </w:rPr>
          <w:t>Equality between women and men</w:t>
        </w:r>
      </w:hyperlink>
    </w:p>
    <w:p w14:paraId="4725A760" w14:textId="77777777" w:rsidR="00DF0725" w:rsidRPr="00113C90" w:rsidRDefault="00DF0725" w:rsidP="00113C90">
      <w:pPr>
        <w:spacing w:after="0" w:line="240" w:lineRule="auto"/>
        <w:rPr>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24 - </w:t>
      </w:r>
      <w:hyperlink r:id="rId45" w:history="1">
        <w:r w:rsidRPr="00113C90">
          <w:rPr>
            <w:rStyle w:val="Hyperlink"/>
            <w:rFonts w:ascii="Arial" w:eastAsia="Times New Roman" w:hAnsi="Arial" w:cs="Arial"/>
            <w:color w:val="000000" w:themeColor="text1"/>
            <w:sz w:val="24"/>
            <w:szCs w:val="24"/>
          </w:rPr>
          <w:t>The rights of the child</w:t>
        </w:r>
      </w:hyperlink>
    </w:p>
    <w:p w14:paraId="0A92F4AE" w14:textId="77777777" w:rsidR="00DF0725" w:rsidRPr="00113C90" w:rsidRDefault="00DF0725" w:rsidP="00113C90">
      <w:pPr>
        <w:spacing w:after="0" w:line="240" w:lineRule="auto"/>
        <w:rPr>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25 - </w:t>
      </w:r>
      <w:hyperlink r:id="rId46" w:history="1">
        <w:r w:rsidRPr="00113C90">
          <w:rPr>
            <w:rStyle w:val="Hyperlink"/>
            <w:rFonts w:ascii="Arial" w:eastAsia="Times New Roman" w:hAnsi="Arial" w:cs="Arial"/>
            <w:color w:val="000000" w:themeColor="text1"/>
            <w:sz w:val="24"/>
            <w:szCs w:val="24"/>
          </w:rPr>
          <w:t>The rights of the elderly</w:t>
        </w:r>
      </w:hyperlink>
    </w:p>
    <w:p w14:paraId="42C172C7" w14:textId="77777777" w:rsidR="00DF0725" w:rsidRPr="00113C90" w:rsidRDefault="00DF0725" w:rsidP="00113C90">
      <w:pPr>
        <w:spacing w:after="0" w:line="240" w:lineRule="auto"/>
        <w:rPr>
          <w:rStyle w:val="Hyperlink"/>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26 - </w:t>
      </w:r>
      <w:hyperlink r:id="rId47" w:history="1">
        <w:r w:rsidRPr="00113C90">
          <w:rPr>
            <w:rStyle w:val="Hyperlink"/>
            <w:rFonts w:ascii="Arial" w:eastAsia="Times New Roman" w:hAnsi="Arial" w:cs="Arial"/>
            <w:color w:val="000000" w:themeColor="text1"/>
            <w:sz w:val="24"/>
            <w:szCs w:val="24"/>
          </w:rPr>
          <w:t>Integration of persons with disabilities</w:t>
        </w:r>
      </w:hyperlink>
    </w:p>
    <w:p w14:paraId="0B91CA66" w14:textId="77777777" w:rsidR="0005694C" w:rsidRPr="00113C90" w:rsidRDefault="0005694C" w:rsidP="00113C90">
      <w:pPr>
        <w:spacing w:after="0" w:line="240" w:lineRule="auto"/>
        <w:rPr>
          <w:rFonts w:ascii="Arial" w:eastAsia="Times New Roman" w:hAnsi="Arial" w:cs="Arial"/>
          <w:color w:val="000000" w:themeColor="text1"/>
          <w:sz w:val="24"/>
          <w:szCs w:val="24"/>
        </w:rPr>
      </w:pPr>
    </w:p>
    <w:p w14:paraId="125D25A5" w14:textId="77777777" w:rsidR="00DF0725" w:rsidRPr="00113C90" w:rsidRDefault="00DF0725" w:rsidP="00113C90">
      <w:pPr>
        <w:pStyle w:val="NormalWeb"/>
        <w:spacing w:before="0" w:beforeAutospacing="0" w:after="0" w:afterAutospacing="0"/>
        <w:rPr>
          <w:rFonts w:ascii="Arial" w:eastAsiaTheme="minorHAnsi" w:hAnsi="Arial" w:cs="Arial"/>
          <w:color w:val="000000" w:themeColor="text1"/>
        </w:rPr>
      </w:pPr>
      <w:r w:rsidRPr="00113C90">
        <w:rPr>
          <w:rFonts w:ascii="Arial" w:hAnsi="Arial" w:cs="Arial"/>
          <w:color w:val="000000" w:themeColor="text1"/>
        </w:rPr>
        <w:t xml:space="preserve">TITLE IV - </w:t>
      </w:r>
      <w:hyperlink r:id="rId48" w:history="1">
        <w:r w:rsidRPr="00113C90">
          <w:rPr>
            <w:rStyle w:val="Hyperlink"/>
            <w:rFonts w:ascii="Arial" w:hAnsi="Arial" w:cs="Arial"/>
            <w:color w:val="000000" w:themeColor="text1"/>
          </w:rPr>
          <w:t>SOLIDARITY</w:t>
        </w:r>
      </w:hyperlink>
      <w:hyperlink r:id="rId49" w:history="1">
        <w:r w:rsidRPr="00113C90">
          <w:rPr>
            <w:rStyle w:val="Hyperlink"/>
            <w:rFonts w:ascii="Arial" w:hAnsi="Arial" w:cs="Arial"/>
            <w:color w:val="000000" w:themeColor="text1"/>
          </w:rPr>
          <w:t xml:space="preserve"> </w:t>
        </w:r>
      </w:hyperlink>
    </w:p>
    <w:p w14:paraId="1A79ED41" w14:textId="77777777" w:rsidR="00DF0725" w:rsidRPr="00113C90" w:rsidRDefault="00DF0725" w:rsidP="00113C90">
      <w:pPr>
        <w:spacing w:after="0" w:line="240" w:lineRule="auto"/>
        <w:rPr>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27 - </w:t>
      </w:r>
      <w:hyperlink r:id="rId50" w:history="1">
        <w:r w:rsidRPr="00113C90">
          <w:rPr>
            <w:rStyle w:val="Hyperlink"/>
            <w:rFonts w:ascii="Arial" w:eastAsia="Times New Roman" w:hAnsi="Arial" w:cs="Arial"/>
            <w:color w:val="000000" w:themeColor="text1"/>
            <w:sz w:val="24"/>
            <w:szCs w:val="24"/>
          </w:rPr>
          <w:t>Workers' right to information and consultation within the undertaking</w:t>
        </w:r>
      </w:hyperlink>
    </w:p>
    <w:p w14:paraId="528FA6F0" w14:textId="77777777" w:rsidR="00DF0725" w:rsidRPr="00113C90" w:rsidRDefault="00DF0725" w:rsidP="00113C90">
      <w:pPr>
        <w:spacing w:after="0" w:line="240" w:lineRule="auto"/>
        <w:rPr>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28 - </w:t>
      </w:r>
      <w:hyperlink r:id="rId51" w:history="1">
        <w:r w:rsidRPr="00113C90">
          <w:rPr>
            <w:rStyle w:val="Hyperlink"/>
            <w:rFonts w:ascii="Arial" w:eastAsia="Times New Roman" w:hAnsi="Arial" w:cs="Arial"/>
            <w:color w:val="000000" w:themeColor="text1"/>
            <w:sz w:val="24"/>
            <w:szCs w:val="24"/>
          </w:rPr>
          <w:t>Right of collective bargaining and action</w:t>
        </w:r>
      </w:hyperlink>
    </w:p>
    <w:p w14:paraId="6C04143C" w14:textId="77777777" w:rsidR="00DF0725" w:rsidRPr="00113C90" w:rsidRDefault="00DF0725" w:rsidP="00113C90">
      <w:pPr>
        <w:spacing w:after="0" w:line="240" w:lineRule="auto"/>
        <w:rPr>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29 - </w:t>
      </w:r>
      <w:hyperlink r:id="rId52" w:history="1">
        <w:r w:rsidRPr="00113C90">
          <w:rPr>
            <w:rStyle w:val="Hyperlink"/>
            <w:rFonts w:ascii="Arial" w:eastAsia="Times New Roman" w:hAnsi="Arial" w:cs="Arial"/>
            <w:color w:val="000000" w:themeColor="text1"/>
            <w:sz w:val="24"/>
            <w:szCs w:val="24"/>
          </w:rPr>
          <w:t>Right of access to placement services</w:t>
        </w:r>
      </w:hyperlink>
    </w:p>
    <w:p w14:paraId="738933D6" w14:textId="77777777" w:rsidR="00DF0725" w:rsidRPr="00113C90" w:rsidRDefault="00DF0725" w:rsidP="00113C90">
      <w:pPr>
        <w:spacing w:after="0" w:line="240" w:lineRule="auto"/>
        <w:rPr>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30 - </w:t>
      </w:r>
      <w:hyperlink r:id="rId53" w:history="1">
        <w:r w:rsidRPr="00113C90">
          <w:rPr>
            <w:rStyle w:val="Hyperlink"/>
            <w:rFonts w:ascii="Arial" w:eastAsia="Times New Roman" w:hAnsi="Arial" w:cs="Arial"/>
            <w:color w:val="000000" w:themeColor="text1"/>
            <w:sz w:val="24"/>
            <w:szCs w:val="24"/>
          </w:rPr>
          <w:t>Protection in the event of unjustified dismissal</w:t>
        </w:r>
      </w:hyperlink>
    </w:p>
    <w:p w14:paraId="71968443" w14:textId="77777777" w:rsidR="00DF0725" w:rsidRPr="00113C90" w:rsidRDefault="00DF0725" w:rsidP="00113C90">
      <w:pPr>
        <w:spacing w:after="0" w:line="240" w:lineRule="auto"/>
        <w:rPr>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31 - </w:t>
      </w:r>
      <w:hyperlink r:id="rId54" w:history="1">
        <w:r w:rsidRPr="00113C90">
          <w:rPr>
            <w:rStyle w:val="Hyperlink"/>
            <w:rFonts w:ascii="Arial" w:eastAsia="Times New Roman" w:hAnsi="Arial" w:cs="Arial"/>
            <w:color w:val="000000" w:themeColor="text1"/>
            <w:sz w:val="24"/>
            <w:szCs w:val="24"/>
          </w:rPr>
          <w:t>Fair and just working conditions</w:t>
        </w:r>
      </w:hyperlink>
    </w:p>
    <w:p w14:paraId="365CF15B" w14:textId="77777777" w:rsidR="00DF0725" w:rsidRPr="00113C90" w:rsidRDefault="00DF0725" w:rsidP="00113C90">
      <w:pPr>
        <w:spacing w:after="0" w:line="240" w:lineRule="auto"/>
        <w:rPr>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32 - </w:t>
      </w:r>
      <w:hyperlink r:id="rId55" w:history="1">
        <w:r w:rsidRPr="00113C90">
          <w:rPr>
            <w:rStyle w:val="Hyperlink"/>
            <w:rFonts w:ascii="Arial" w:eastAsia="Times New Roman" w:hAnsi="Arial" w:cs="Arial"/>
            <w:color w:val="000000" w:themeColor="text1"/>
            <w:sz w:val="24"/>
            <w:szCs w:val="24"/>
          </w:rPr>
          <w:t>Prohibition of child labour and protection of young people at work</w:t>
        </w:r>
      </w:hyperlink>
    </w:p>
    <w:p w14:paraId="26A40302" w14:textId="77777777" w:rsidR="00DF0725" w:rsidRPr="00113C90" w:rsidRDefault="00DF0725" w:rsidP="00113C90">
      <w:pPr>
        <w:spacing w:after="0" w:line="240" w:lineRule="auto"/>
        <w:rPr>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33 - </w:t>
      </w:r>
      <w:hyperlink r:id="rId56" w:history="1">
        <w:r w:rsidRPr="00113C90">
          <w:rPr>
            <w:rStyle w:val="Hyperlink"/>
            <w:rFonts w:ascii="Arial" w:eastAsia="Times New Roman" w:hAnsi="Arial" w:cs="Arial"/>
            <w:color w:val="000000" w:themeColor="text1"/>
            <w:sz w:val="24"/>
            <w:szCs w:val="24"/>
          </w:rPr>
          <w:t>Family and professional life</w:t>
        </w:r>
      </w:hyperlink>
    </w:p>
    <w:p w14:paraId="7D141A1F" w14:textId="77777777" w:rsidR="00DF0725" w:rsidRPr="00113C90" w:rsidRDefault="00DF0725" w:rsidP="00113C90">
      <w:pPr>
        <w:spacing w:after="0" w:line="240" w:lineRule="auto"/>
        <w:rPr>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34 - </w:t>
      </w:r>
      <w:hyperlink r:id="rId57" w:history="1">
        <w:r w:rsidRPr="00113C90">
          <w:rPr>
            <w:rStyle w:val="Hyperlink"/>
            <w:rFonts w:ascii="Arial" w:eastAsia="Times New Roman" w:hAnsi="Arial" w:cs="Arial"/>
            <w:color w:val="000000" w:themeColor="text1"/>
            <w:sz w:val="24"/>
            <w:szCs w:val="24"/>
          </w:rPr>
          <w:t>Social security and social assistance</w:t>
        </w:r>
      </w:hyperlink>
    </w:p>
    <w:p w14:paraId="073B1286" w14:textId="77777777" w:rsidR="00DF0725" w:rsidRPr="00113C90" w:rsidRDefault="00DF0725" w:rsidP="00113C90">
      <w:pPr>
        <w:spacing w:after="0" w:line="240" w:lineRule="auto"/>
        <w:rPr>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35 - </w:t>
      </w:r>
      <w:hyperlink r:id="rId58" w:history="1">
        <w:r w:rsidRPr="00113C90">
          <w:rPr>
            <w:rStyle w:val="Strong"/>
            <w:rFonts w:ascii="Arial" w:eastAsia="Times New Roman" w:hAnsi="Arial" w:cs="Arial"/>
            <w:b w:val="0"/>
            <w:bCs w:val="0"/>
            <w:color w:val="000000" w:themeColor="text1"/>
            <w:sz w:val="24"/>
            <w:szCs w:val="24"/>
            <w:u w:val="single"/>
          </w:rPr>
          <w:t>Health care</w:t>
        </w:r>
      </w:hyperlink>
    </w:p>
    <w:p w14:paraId="00424A84" w14:textId="77777777" w:rsidR="00DF0725" w:rsidRPr="00113C90" w:rsidRDefault="00DF0725" w:rsidP="00113C90">
      <w:pPr>
        <w:spacing w:after="0" w:line="240" w:lineRule="auto"/>
        <w:rPr>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36 - </w:t>
      </w:r>
      <w:hyperlink r:id="rId59" w:history="1">
        <w:r w:rsidRPr="00113C90">
          <w:rPr>
            <w:rStyle w:val="Hyperlink"/>
            <w:rFonts w:ascii="Arial" w:eastAsia="Times New Roman" w:hAnsi="Arial" w:cs="Arial"/>
            <w:color w:val="000000" w:themeColor="text1"/>
            <w:sz w:val="24"/>
            <w:szCs w:val="24"/>
          </w:rPr>
          <w:t>Access to services of general economic interest</w:t>
        </w:r>
      </w:hyperlink>
    </w:p>
    <w:p w14:paraId="0A316766" w14:textId="77777777" w:rsidR="00DF0725" w:rsidRPr="00113C90" w:rsidRDefault="00DF0725" w:rsidP="00113C90">
      <w:pPr>
        <w:spacing w:after="0" w:line="240" w:lineRule="auto"/>
        <w:rPr>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37 - </w:t>
      </w:r>
      <w:hyperlink r:id="rId60" w:history="1">
        <w:r w:rsidRPr="00113C90">
          <w:rPr>
            <w:rStyle w:val="Hyperlink"/>
            <w:rFonts w:ascii="Arial" w:eastAsia="Times New Roman" w:hAnsi="Arial" w:cs="Arial"/>
            <w:color w:val="000000" w:themeColor="text1"/>
            <w:sz w:val="24"/>
            <w:szCs w:val="24"/>
          </w:rPr>
          <w:t>Environmental protection</w:t>
        </w:r>
      </w:hyperlink>
    </w:p>
    <w:p w14:paraId="24586570" w14:textId="77777777" w:rsidR="00DF0725" w:rsidRPr="00113C90" w:rsidRDefault="00DF0725" w:rsidP="00113C90">
      <w:pPr>
        <w:spacing w:after="0" w:line="240" w:lineRule="auto"/>
        <w:rPr>
          <w:rStyle w:val="Hyperlink"/>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38 - </w:t>
      </w:r>
      <w:hyperlink r:id="rId61" w:history="1">
        <w:r w:rsidRPr="00113C90">
          <w:rPr>
            <w:rStyle w:val="Hyperlink"/>
            <w:rFonts w:ascii="Arial" w:eastAsia="Times New Roman" w:hAnsi="Arial" w:cs="Arial"/>
            <w:color w:val="000000" w:themeColor="text1"/>
            <w:sz w:val="24"/>
            <w:szCs w:val="24"/>
          </w:rPr>
          <w:t>Consumer protection</w:t>
        </w:r>
      </w:hyperlink>
    </w:p>
    <w:p w14:paraId="730E5456" w14:textId="77777777" w:rsidR="0005694C" w:rsidRPr="00113C90" w:rsidRDefault="0005694C" w:rsidP="00113C90">
      <w:pPr>
        <w:spacing w:after="0" w:line="240" w:lineRule="auto"/>
        <w:rPr>
          <w:rFonts w:ascii="Arial" w:eastAsia="Times New Roman" w:hAnsi="Arial" w:cs="Arial"/>
          <w:color w:val="000000" w:themeColor="text1"/>
          <w:sz w:val="24"/>
          <w:szCs w:val="24"/>
        </w:rPr>
      </w:pPr>
    </w:p>
    <w:p w14:paraId="6E383013" w14:textId="77777777" w:rsidR="00DF0725" w:rsidRPr="00113C90" w:rsidRDefault="00DF0725" w:rsidP="00113C90">
      <w:pPr>
        <w:pStyle w:val="NormalWeb"/>
        <w:spacing w:before="0" w:beforeAutospacing="0" w:after="0" w:afterAutospacing="0"/>
        <w:rPr>
          <w:rFonts w:ascii="Arial" w:eastAsiaTheme="minorHAnsi" w:hAnsi="Arial" w:cs="Arial"/>
          <w:color w:val="000000" w:themeColor="text1"/>
        </w:rPr>
      </w:pPr>
      <w:r w:rsidRPr="00113C90">
        <w:rPr>
          <w:rFonts w:ascii="Arial" w:hAnsi="Arial" w:cs="Arial"/>
          <w:color w:val="000000" w:themeColor="text1"/>
        </w:rPr>
        <w:t xml:space="preserve">TITLE V - </w:t>
      </w:r>
      <w:hyperlink r:id="rId62" w:history="1">
        <w:r w:rsidRPr="00113C90">
          <w:rPr>
            <w:rStyle w:val="Hyperlink"/>
            <w:rFonts w:ascii="Arial" w:hAnsi="Arial" w:cs="Arial"/>
            <w:color w:val="000000" w:themeColor="text1"/>
          </w:rPr>
          <w:t>CITIZENS' RIGHTS</w:t>
        </w:r>
      </w:hyperlink>
    </w:p>
    <w:p w14:paraId="7C9934E8" w14:textId="77777777" w:rsidR="00DF0725" w:rsidRPr="00113C90" w:rsidRDefault="00DF0725" w:rsidP="00113C90">
      <w:pPr>
        <w:spacing w:after="0" w:line="240" w:lineRule="auto"/>
        <w:rPr>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39 - </w:t>
      </w:r>
      <w:hyperlink r:id="rId63" w:history="1">
        <w:r w:rsidRPr="004B4C49">
          <w:rPr>
            <w:rStyle w:val="Hyperlink"/>
            <w:rFonts w:ascii="Arial" w:eastAsia="Times New Roman" w:hAnsi="Arial" w:cs="Arial"/>
            <w:color w:val="000000" w:themeColor="text1"/>
            <w:sz w:val="24"/>
            <w:szCs w:val="24"/>
          </w:rPr>
          <w:t>Right to vote and to stand as a candidate at elections to the European Parliament</w:t>
        </w:r>
      </w:hyperlink>
    </w:p>
    <w:p w14:paraId="1C8FB560" w14:textId="77777777" w:rsidR="00DF0725" w:rsidRPr="00113C90" w:rsidRDefault="00DF0725" w:rsidP="00113C90">
      <w:pPr>
        <w:spacing w:after="0" w:line="240" w:lineRule="auto"/>
        <w:rPr>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40 - </w:t>
      </w:r>
      <w:hyperlink r:id="rId64" w:history="1">
        <w:r w:rsidRPr="00113C90">
          <w:rPr>
            <w:rStyle w:val="Hyperlink"/>
            <w:rFonts w:ascii="Arial" w:eastAsia="Times New Roman" w:hAnsi="Arial" w:cs="Arial"/>
            <w:color w:val="000000" w:themeColor="text1"/>
            <w:sz w:val="24"/>
            <w:szCs w:val="24"/>
          </w:rPr>
          <w:t>Right to vote and to stand as a candidate at municipal elections</w:t>
        </w:r>
      </w:hyperlink>
    </w:p>
    <w:p w14:paraId="502DD88D" w14:textId="77777777" w:rsidR="00DF0725" w:rsidRPr="00113C90" w:rsidRDefault="00DF0725" w:rsidP="00113C90">
      <w:pPr>
        <w:spacing w:after="0" w:line="240" w:lineRule="auto"/>
        <w:rPr>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41 - </w:t>
      </w:r>
      <w:hyperlink r:id="rId65" w:history="1">
        <w:r w:rsidRPr="00113C90">
          <w:rPr>
            <w:rStyle w:val="Hyperlink"/>
            <w:rFonts w:ascii="Arial" w:eastAsia="Times New Roman" w:hAnsi="Arial" w:cs="Arial"/>
            <w:color w:val="000000" w:themeColor="text1"/>
            <w:sz w:val="24"/>
            <w:szCs w:val="24"/>
          </w:rPr>
          <w:t>Right to good administration</w:t>
        </w:r>
      </w:hyperlink>
    </w:p>
    <w:p w14:paraId="09D9674D" w14:textId="77777777" w:rsidR="00DF0725" w:rsidRPr="00113C90" w:rsidRDefault="00DF0725" w:rsidP="00113C90">
      <w:pPr>
        <w:spacing w:after="0" w:line="240" w:lineRule="auto"/>
        <w:rPr>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42 - </w:t>
      </w:r>
      <w:hyperlink r:id="rId66" w:history="1">
        <w:r w:rsidRPr="00113C90">
          <w:rPr>
            <w:rStyle w:val="Hyperlink"/>
            <w:rFonts w:ascii="Arial" w:eastAsia="Times New Roman" w:hAnsi="Arial" w:cs="Arial"/>
            <w:color w:val="000000" w:themeColor="text1"/>
            <w:sz w:val="24"/>
            <w:szCs w:val="24"/>
          </w:rPr>
          <w:t>Right of access to documents</w:t>
        </w:r>
      </w:hyperlink>
    </w:p>
    <w:p w14:paraId="745CB2C9" w14:textId="77777777" w:rsidR="00DF0725" w:rsidRPr="00113C90" w:rsidRDefault="00DF0725" w:rsidP="00113C90">
      <w:pPr>
        <w:spacing w:after="0" w:line="240" w:lineRule="auto"/>
        <w:rPr>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43 - </w:t>
      </w:r>
      <w:hyperlink r:id="rId67" w:history="1">
        <w:r w:rsidRPr="00113C90">
          <w:rPr>
            <w:rStyle w:val="Hyperlink"/>
            <w:rFonts w:ascii="Arial" w:eastAsia="Times New Roman" w:hAnsi="Arial" w:cs="Arial"/>
            <w:color w:val="000000" w:themeColor="text1"/>
            <w:sz w:val="24"/>
            <w:szCs w:val="24"/>
          </w:rPr>
          <w:t>European Ombudsman</w:t>
        </w:r>
      </w:hyperlink>
    </w:p>
    <w:p w14:paraId="2343C39B" w14:textId="77777777" w:rsidR="00DF0725" w:rsidRPr="00113C90" w:rsidRDefault="00DF0725" w:rsidP="00113C90">
      <w:pPr>
        <w:spacing w:after="0" w:line="240" w:lineRule="auto"/>
        <w:rPr>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44 - </w:t>
      </w:r>
      <w:hyperlink r:id="rId68" w:history="1">
        <w:r w:rsidRPr="00113C90">
          <w:rPr>
            <w:rStyle w:val="Hyperlink"/>
            <w:rFonts w:ascii="Arial" w:eastAsia="Times New Roman" w:hAnsi="Arial" w:cs="Arial"/>
            <w:color w:val="000000" w:themeColor="text1"/>
            <w:sz w:val="24"/>
            <w:szCs w:val="24"/>
          </w:rPr>
          <w:t>Right to petition</w:t>
        </w:r>
      </w:hyperlink>
    </w:p>
    <w:p w14:paraId="79B3CB13" w14:textId="77777777" w:rsidR="00DF0725" w:rsidRPr="00113C90" w:rsidRDefault="00DF0725" w:rsidP="00113C90">
      <w:pPr>
        <w:spacing w:after="0" w:line="240" w:lineRule="auto"/>
        <w:rPr>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45 - </w:t>
      </w:r>
      <w:hyperlink r:id="rId69" w:history="1">
        <w:r w:rsidRPr="00113C90">
          <w:rPr>
            <w:rStyle w:val="Hyperlink"/>
            <w:rFonts w:ascii="Arial" w:eastAsia="Times New Roman" w:hAnsi="Arial" w:cs="Arial"/>
            <w:color w:val="000000" w:themeColor="text1"/>
            <w:sz w:val="24"/>
            <w:szCs w:val="24"/>
          </w:rPr>
          <w:t>Freedom of movement and of residence</w:t>
        </w:r>
      </w:hyperlink>
    </w:p>
    <w:p w14:paraId="018299D5" w14:textId="77777777" w:rsidR="00DF0725" w:rsidRPr="00113C90" w:rsidRDefault="00DF0725" w:rsidP="00113C90">
      <w:pPr>
        <w:spacing w:after="0" w:line="240" w:lineRule="auto"/>
        <w:rPr>
          <w:rStyle w:val="Hyperlink"/>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46 - </w:t>
      </w:r>
      <w:hyperlink r:id="rId70" w:history="1">
        <w:r w:rsidRPr="00113C90">
          <w:rPr>
            <w:rStyle w:val="Hyperlink"/>
            <w:rFonts w:ascii="Arial" w:eastAsia="Times New Roman" w:hAnsi="Arial" w:cs="Arial"/>
            <w:color w:val="000000" w:themeColor="text1"/>
            <w:sz w:val="24"/>
            <w:szCs w:val="24"/>
          </w:rPr>
          <w:t>Diplomatic and consular protection</w:t>
        </w:r>
      </w:hyperlink>
    </w:p>
    <w:p w14:paraId="07C66AAC" w14:textId="77777777" w:rsidR="0005694C" w:rsidRPr="00113C90" w:rsidRDefault="0005694C" w:rsidP="00113C90">
      <w:pPr>
        <w:spacing w:after="0" w:line="240" w:lineRule="auto"/>
        <w:rPr>
          <w:rFonts w:ascii="Arial" w:eastAsia="Times New Roman" w:hAnsi="Arial" w:cs="Arial"/>
          <w:color w:val="000000" w:themeColor="text1"/>
          <w:sz w:val="24"/>
          <w:szCs w:val="24"/>
        </w:rPr>
      </w:pPr>
    </w:p>
    <w:p w14:paraId="0A5432A9" w14:textId="77777777" w:rsidR="00DF0725" w:rsidRPr="00113C90" w:rsidRDefault="00DF0725" w:rsidP="00113C90">
      <w:pPr>
        <w:pStyle w:val="NormalWeb"/>
        <w:spacing w:before="0" w:beforeAutospacing="0" w:after="0" w:afterAutospacing="0"/>
        <w:rPr>
          <w:rFonts w:ascii="Arial" w:eastAsiaTheme="minorHAnsi" w:hAnsi="Arial" w:cs="Arial"/>
          <w:color w:val="000000" w:themeColor="text1"/>
        </w:rPr>
      </w:pPr>
      <w:r w:rsidRPr="00113C90">
        <w:rPr>
          <w:rFonts w:ascii="Arial" w:hAnsi="Arial" w:cs="Arial"/>
          <w:color w:val="000000" w:themeColor="text1"/>
        </w:rPr>
        <w:t xml:space="preserve">TITLE VI - </w:t>
      </w:r>
      <w:hyperlink r:id="rId71" w:history="1">
        <w:r w:rsidRPr="00113C90">
          <w:rPr>
            <w:rStyle w:val="Hyperlink"/>
            <w:rFonts w:ascii="Arial" w:hAnsi="Arial" w:cs="Arial"/>
            <w:color w:val="000000" w:themeColor="text1"/>
          </w:rPr>
          <w:t>JUSTICE</w:t>
        </w:r>
      </w:hyperlink>
    </w:p>
    <w:p w14:paraId="5B282C4D" w14:textId="77777777" w:rsidR="00DF0725" w:rsidRPr="00113C90" w:rsidRDefault="00DF0725" w:rsidP="00113C90">
      <w:pPr>
        <w:spacing w:after="0" w:line="240" w:lineRule="auto"/>
        <w:rPr>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47 - </w:t>
      </w:r>
      <w:hyperlink r:id="rId72" w:history="1">
        <w:r w:rsidRPr="00113C90">
          <w:rPr>
            <w:rStyle w:val="Hyperlink"/>
            <w:rFonts w:ascii="Arial" w:eastAsia="Times New Roman" w:hAnsi="Arial" w:cs="Arial"/>
            <w:color w:val="000000" w:themeColor="text1"/>
            <w:sz w:val="24"/>
            <w:szCs w:val="24"/>
          </w:rPr>
          <w:t>Right to an effective remedy and to a fair trial</w:t>
        </w:r>
      </w:hyperlink>
    </w:p>
    <w:p w14:paraId="2F386013" w14:textId="77777777" w:rsidR="00DF0725" w:rsidRPr="00113C90" w:rsidRDefault="00DF0725" w:rsidP="00113C90">
      <w:pPr>
        <w:spacing w:after="0" w:line="240" w:lineRule="auto"/>
        <w:rPr>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48 - </w:t>
      </w:r>
      <w:hyperlink r:id="rId73" w:history="1">
        <w:r w:rsidRPr="00113C90">
          <w:rPr>
            <w:rStyle w:val="Hyperlink"/>
            <w:rFonts w:ascii="Arial" w:eastAsia="Times New Roman" w:hAnsi="Arial" w:cs="Arial"/>
            <w:color w:val="000000" w:themeColor="text1"/>
            <w:sz w:val="24"/>
            <w:szCs w:val="24"/>
          </w:rPr>
          <w:t>Presumption of innocence and right of defence</w:t>
        </w:r>
      </w:hyperlink>
    </w:p>
    <w:p w14:paraId="20CA8FD2" w14:textId="77777777" w:rsidR="00DF0725" w:rsidRPr="00113C90" w:rsidRDefault="00DF0725" w:rsidP="00113C90">
      <w:pPr>
        <w:spacing w:after="0" w:line="240" w:lineRule="auto"/>
        <w:rPr>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49 - </w:t>
      </w:r>
      <w:hyperlink r:id="rId74" w:history="1">
        <w:r w:rsidRPr="00113C90">
          <w:rPr>
            <w:rStyle w:val="Hyperlink"/>
            <w:rFonts w:ascii="Arial" w:eastAsia="Times New Roman" w:hAnsi="Arial" w:cs="Arial"/>
            <w:color w:val="000000" w:themeColor="text1"/>
            <w:sz w:val="24"/>
            <w:szCs w:val="24"/>
          </w:rPr>
          <w:t>Principles of legality and proportionality of criminal offences and penalties</w:t>
        </w:r>
      </w:hyperlink>
    </w:p>
    <w:p w14:paraId="15FC39BE" w14:textId="77777777" w:rsidR="00DF0725" w:rsidRPr="00113C90" w:rsidRDefault="00DF0725" w:rsidP="00113C90">
      <w:pPr>
        <w:spacing w:after="0" w:line="240" w:lineRule="auto"/>
        <w:rPr>
          <w:rStyle w:val="Hyperlink"/>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50 - </w:t>
      </w:r>
      <w:hyperlink r:id="rId75" w:history="1">
        <w:r w:rsidRPr="00113C90">
          <w:rPr>
            <w:rStyle w:val="Hyperlink"/>
            <w:rFonts w:ascii="Arial" w:eastAsia="Times New Roman" w:hAnsi="Arial" w:cs="Arial"/>
            <w:color w:val="000000" w:themeColor="text1"/>
            <w:sz w:val="24"/>
            <w:szCs w:val="24"/>
          </w:rPr>
          <w:t>Right not to be tried or punished twice in criminal proceedings for the same criminal offence</w:t>
        </w:r>
      </w:hyperlink>
    </w:p>
    <w:p w14:paraId="61F6ECAC" w14:textId="77777777" w:rsidR="0005694C" w:rsidRPr="00113C90" w:rsidRDefault="0005694C" w:rsidP="00113C90">
      <w:pPr>
        <w:spacing w:after="0" w:line="240" w:lineRule="auto"/>
        <w:rPr>
          <w:rFonts w:ascii="Arial" w:eastAsia="Times New Roman" w:hAnsi="Arial" w:cs="Arial"/>
          <w:color w:val="000000" w:themeColor="text1"/>
          <w:sz w:val="24"/>
          <w:szCs w:val="24"/>
        </w:rPr>
      </w:pPr>
    </w:p>
    <w:p w14:paraId="083FE852" w14:textId="77777777" w:rsidR="00DF0725" w:rsidRPr="00113C90" w:rsidRDefault="00DF0725" w:rsidP="00113C90">
      <w:pPr>
        <w:pStyle w:val="NormalWeb"/>
        <w:spacing w:before="0" w:beforeAutospacing="0" w:after="0" w:afterAutospacing="0"/>
        <w:rPr>
          <w:rFonts w:ascii="Arial" w:eastAsiaTheme="minorHAnsi" w:hAnsi="Arial" w:cs="Arial"/>
          <w:color w:val="000000" w:themeColor="text1"/>
        </w:rPr>
      </w:pPr>
      <w:r w:rsidRPr="00113C90">
        <w:rPr>
          <w:rFonts w:ascii="Arial" w:hAnsi="Arial" w:cs="Arial"/>
          <w:color w:val="000000" w:themeColor="text1"/>
        </w:rPr>
        <w:t xml:space="preserve">TITLE VII - </w:t>
      </w:r>
      <w:hyperlink r:id="rId76" w:history="1">
        <w:r w:rsidRPr="00113C90">
          <w:rPr>
            <w:rStyle w:val="Hyperlink"/>
            <w:rFonts w:ascii="Arial" w:hAnsi="Arial" w:cs="Arial"/>
            <w:color w:val="000000" w:themeColor="text1"/>
          </w:rPr>
          <w:t>GENERAL PROVISIONS</w:t>
        </w:r>
      </w:hyperlink>
    </w:p>
    <w:p w14:paraId="16C05168" w14:textId="77777777" w:rsidR="00DF0725" w:rsidRPr="00113C90" w:rsidRDefault="00DF0725" w:rsidP="00113C90">
      <w:pPr>
        <w:spacing w:after="0" w:line="240" w:lineRule="auto"/>
        <w:rPr>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51 - </w:t>
      </w:r>
      <w:hyperlink r:id="rId77" w:history="1">
        <w:r w:rsidRPr="00113C90">
          <w:rPr>
            <w:rStyle w:val="Hyperlink"/>
            <w:rFonts w:ascii="Arial" w:eastAsia="Times New Roman" w:hAnsi="Arial" w:cs="Arial"/>
            <w:color w:val="000000" w:themeColor="text1"/>
            <w:sz w:val="24"/>
            <w:szCs w:val="24"/>
          </w:rPr>
          <w:t>Field of application</w:t>
        </w:r>
      </w:hyperlink>
    </w:p>
    <w:p w14:paraId="6AFFBE6C" w14:textId="77777777" w:rsidR="00DF0725" w:rsidRPr="00113C90" w:rsidRDefault="00DF0725" w:rsidP="00113C90">
      <w:pPr>
        <w:spacing w:after="0" w:line="240" w:lineRule="auto"/>
        <w:rPr>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52 - </w:t>
      </w:r>
      <w:hyperlink r:id="rId78" w:history="1">
        <w:r w:rsidRPr="00113C90">
          <w:rPr>
            <w:rStyle w:val="Hyperlink"/>
            <w:rFonts w:ascii="Arial" w:eastAsia="Times New Roman" w:hAnsi="Arial" w:cs="Arial"/>
            <w:color w:val="000000" w:themeColor="text1"/>
            <w:sz w:val="24"/>
            <w:szCs w:val="24"/>
          </w:rPr>
          <w:t xml:space="preserve">Scope and interpretation of rights and principles </w:t>
        </w:r>
      </w:hyperlink>
    </w:p>
    <w:p w14:paraId="7039258D" w14:textId="77777777" w:rsidR="00DF0725" w:rsidRPr="00113C90" w:rsidRDefault="00DF0725" w:rsidP="00113C90">
      <w:pPr>
        <w:spacing w:after="0" w:line="240" w:lineRule="auto"/>
        <w:rPr>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53 - </w:t>
      </w:r>
      <w:hyperlink r:id="rId79" w:history="1">
        <w:r w:rsidRPr="00113C90">
          <w:rPr>
            <w:rStyle w:val="Hyperlink"/>
            <w:rFonts w:ascii="Arial" w:eastAsia="Times New Roman" w:hAnsi="Arial" w:cs="Arial"/>
            <w:color w:val="000000" w:themeColor="text1"/>
            <w:sz w:val="24"/>
            <w:szCs w:val="24"/>
          </w:rPr>
          <w:t>Level of protection</w:t>
        </w:r>
      </w:hyperlink>
    </w:p>
    <w:p w14:paraId="5B6276DA" w14:textId="77777777" w:rsidR="00DF0725" w:rsidRPr="00113C90" w:rsidRDefault="00DF0725" w:rsidP="00113C90">
      <w:pPr>
        <w:spacing w:after="0" w:line="240" w:lineRule="auto"/>
        <w:rPr>
          <w:rFonts w:ascii="Arial" w:eastAsia="Times New Roman" w:hAnsi="Arial" w:cs="Arial"/>
          <w:color w:val="000000" w:themeColor="text1"/>
          <w:sz w:val="24"/>
          <w:szCs w:val="24"/>
        </w:rPr>
      </w:pPr>
      <w:r w:rsidRPr="00113C90">
        <w:rPr>
          <w:rFonts w:ascii="Arial" w:eastAsia="Times New Roman" w:hAnsi="Arial" w:cs="Arial"/>
          <w:color w:val="000000" w:themeColor="text1"/>
          <w:sz w:val="24"/>
          <w:szCs w:val="24"/>
        </w:rPr>
        <w:t xml:space="preserve">Article 54 - </w:t>
      </w:r>
      <w:hyperlink r:id="rId80" w:history="1">
        <w:r w:rsidRPr="00113C90">
          <w:rPr>
            <w:rStyle w:val="Hyperlink"/>
            <w:rFonts w:ascii="Arial" w:eastAsia="Times New Roman" w:hAnsi="Arial" w:cs="Arial"/>
            <w:color w:val="000000" w:themeColor="text1"/>
            <w:sz w:val="24"/>
            <w:szCs w:val="24"/>
          </w:rPr>
          <w:t>Prohibition of abuse of rights</w:t>
        </w:r>
      </w:hyperlink>
    </w:p>
    <w:p w14:paraId="6F9E8F28" w14:textId="77777777" w:rsidR="004C4B05" w:rsidRPr="00113C90" w:rsidRDefault="004C4B05" w:rsidP="00113C90">
      <w:pPr>
        <w:spacing w:after="0" w:line="240" w:lineRule="auto"/>
        <w:rPr>
          <w:rFonts w:ascii="Arial" w:hAnsi="Arial" w:cs="Arial"/>
          <w:sz w:val="24"/>
          <w:szCs w:val="24"/>
        </w:rPr>
      </w:pPr>
    </w:p>
    <w:sectPr w:rsidR="004C4B05" w:rsidRPr="00113C90">
      <w:footerReference w:type="default" r:id="rId8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27A9EC" w14:textId="77777777" w:rsidR="00215B70" w:rsidRDefault="00215B70" w:rsidP="007F558E">
      <w:pPr>
        <w:spacing w:after="0" w:line="240" w:lineRule="auto"/>
      </w:pPr>
      <w:r>
        <w:separator/>
      </w:r>
    </w:p>
  </w:endnote>
  <w:endnote w:type="continuationSeparator" w:id="0">
    <w:p w14:paraId="141DF50A" w14:textId="77777777" w:rsidR="00215B70" w:rsidRDefault="00215B70" w:rsidP="007F5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Palatino">
    <w:altName w:val="Book Antiqua"/>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2269598"/>
      <w:docPartObj>
        <w:docPartGallery w:val="Page Numbers (Bottom of Page)"/>
        <w:docPartUnique/>
      </w:docPartObj>
    </w:sdtPr>
    <w:sdtEndPr>
      <w:rPr>
        <w:noProof/>
      </w:rPr>
    </w:sdtEndPr>
    <w:sdtContent>
      <w:p w14:paraId="5D37C3C8" w14:textId="77777777" w:rsidR="00E71EB2" w:rsidRDefault="00E71EB2" w:rsidP="00303E3D">
        <w:pPr>
          <w:pStyle w:val="Header"/>
          <w:jc w:val="center"/>
        </w:pPr>
      </w:p>
      <w:p w14:paraId="76DD5DC9" w14:textId="46B07F6B" w:rsidR="00E71EB2" w:rsidRPr="00303E3D" w:rsidRDefault="00E71EB2" w:rsidP="00303E3D">
        <w:pPr>
          <w:pStyle w:val="Header"/>
          <w:jc w:val="center"/>
          <w:rPr>
            <w:rFonts w:ascii="Arial" w:hAnsi="Arial" w:cs="Arial"/>
            <w:i/>
            <w:sz w:val="16"/>
            <w:szCs w:val="16"/>
          </w:rPr>
        </w:pPr>
        <w:r w:rsidRPr="00303E3D">
          <w:rPr>
            <w:sz w:val="16"/>
            <w:szCs w:val="16"/>
          </w:rPr>
          <w:t xml:space="preserve"> - </w:t>
        </w:r>
        <w:r w:rsidRPr="00303E3D">
          <w:rPr>
            <w:rFonts w:ascii="Arial" w:hAnsi="Arial" w:cs="Arial"/>
            <w:i/>
            <w:sz w:val="16"/>
            <w:szCs w:val="16"/>
          </w:rPr>
          <w:t>Dr Padraic Kenna – EU Charter of Fundamental Rights -</w:t>
        </w:r>
      </w:p>
      <w:p w14:paraId="3EA6C3BF" w14:textId="77777777" w:rsidR="00E71EB2" w:rsidRDefault="00E71EB2">
        <w:pPr>
          <w:pStyle w:val="Footer"/>
          <w:jc w:val="right"/>
        </w:pPr>
        <w:r>
          <w:fldChar w:fldCharType="begin"/>
        </w:r>
        <w:r>
          <w:instrText xml:space="preserve"> PAGE   \* MERGEFORMAT </w:instrText>
        </w:r>
        <w:r>
          <w:fldChar w:fldCharType="separate"/>
        </w:r>
        <w:r w:rsidR="000A12C9">
          <w:rPr>
            <w:noProof/>
          </w:rPr>
          <w:t>1</w:t>
        </w:r>
        <w:r>
          <w:rPr>
            <w:noProof/>
          </w:rPr>
          <w:fldChar w:fldCharType="end"/>
        </w:r>
      </w:p>
    </w:sdtContent>
  </w:sdt>
  <w:p w14:paraId="1EB04AFC" w14:textId="77777777" w:rsidR="00E71EB2" w:rsidRDefault="00E71E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18FF6A" w14:textId="77777777" w:rsidR="00215B70" w:rsidRDefault="00215B70" w:rsidP="007F558E">
      <w:pPr>
        <w:spacing w:after="0" w:line="240" w:lineRule="auto"/>
      </w:pPr>
      <w:r>
        <w:separator/>
      </w:r>
    </w:p>
  </w:footnote>
  <w:footnote w:type="continuationSeparator" w:id="0">
    <w:p w14:paraId="1CC6F688" w14:textId="77777777" w:rsidR="00215B70" w:rsidRDefault="00215B70" w:rsidP="007F558E">
      <w:pPr>
        <w:spacing w:after="0" w:line="240" w:lineRule="auto"/>
      </w:pPr>
      <w:r>
        <w:continuationSeparator/>
      </w:r>
    </w:p>
  </w:footnote>
  <w:footnote w:id="1">
    <w:p w14:paraId="5E217CBF" w14:textId="4505F509" w:rsidR="00E71EB2" w:rsidRPr="00CB4109" w:rsidRDefault="00E71EB2" w:rsidP="0048325B">
      <w:pPr>
        <w:pStyle w:val="FootnoteText"/>
        <w:rPr>
          <w:rFonts w:ascii="Arial" w:hAnsi="Arial" w:cs="Arial"/>
          <w:lang w:val="en-US"/>
        </w:rPr>
      </w:pPr>
      <w:r w:rsidRPr="00CB4109">
        <w:rPr>
          <w:rStyle w:val="FootnoteReference"/>
          <w:rFonts w:ascii="Arial" w:hAnsi="Arial" w:cs="Arial"/>
        </w:rPr>
        <w:footnoteRef/>
      </w:r>
      <w:r w:rsidRPr="00CB4109">
        <w:rPr>
          <w:rFonts w:ascii="Arial" w:hAnsi="Arial" w:cs="Arial"/>
        </w:rPr>
        <w:t xml:space="preserve"> </w:t>
      </w:r>
      <w:r w:rsidRPr="00CB4109">
        <w:rPr>
          <w:rFonts w:ascii="Arial" w:hAnsi="Arial" w:cs="Arial"/>
          <w:lang w:val="en-US"/>
        </w:rPr>
        <w:t xml:space="preserve">Lecturer in law at NUI Galway; Contact </w:t>
      </w:r>
      <w:hyperlink r:id="rId1" w:history="1">
        <w:r w:rsidRPr="00CB4109">
          <w:rPr>
            <w:rStyle w:val="Hyperlink"/>
            <w:rFonts w:ascii="Arial" w:hAnsi="Arial" w:cs="Arial"/>
            <w:lang w:val="en-US"/>
          </w:rPr>
          <w:t>padraic.kenna@nuigalway.ie</w:t>
        </w:r>
      </w:hyperlink>
    </w:p>
  </w:footnote>
  <w:footnote w:id="2">
    <w:p w14:paraId="759566BC" w14:textId="28780E3D" w:rsidR="00E71EB2" w:rsidRPr="00CB4109" w:rsidRDefault="00E71EB2" w:rsidP="0048325B">
      <w:pPr>
        <w:pStyle w:val="FootnoteText"/>
        <w:rPr>
          <w:rFonts w:ascii="Arial" w:hAnsi="Arial" w:cs="Arial"/>
          <w:lang w:val="en-US"/>
        </w:rPr>
      </w:pPr>
      <w:r w:rsidRPr="00CB4109">
        <w:rPr>
          <w:rStyle w:val="FootnoteReference"/>
          <w:rFonts w:ascii="Arial" w:hAnsi="Arial" w:cs="Arial"/>
        </w:rPr>
        <w:footnoteRef/>
      </w:r>
      <w:r w:rsidRPr="00CB4109">
        <w:rPr>
          <w:rFonts w:ascii="Arial" w:hAnsi="Arial" w:cs="Arial"/>
        </w:rPr>
        <w:t xml:space="preserve"> Consolidated versions of the Treaty on European Union and the Treaty on the Functioning of the European Union </w:t>
      </w:r>
      <w:r w:rsidRPr="00CB4109">
        <w:rPr>
          <w:rFonts w:ascii="Arial" w:hAnsi="Arial" w:cs="Arial"/>
          <w:i/>
        </w:rPr>
        <w:t>Charter of Fundamental Rights of the European Union</w:t>
      </w:r>
      <w:r w:rsidRPr="00CB4109">
        <w:rPr>
          <w:rFonts w:ascii="Arial" w:hAnsi="Arial" w:cs="Arial"/>
        </w:rPr>
        <w:t xml:space="preserve"> (OJ C 83/13, 30.3.2010). </w:t>
      </w:r>
      <w:r w:rsidRPr="00CB4109">
        <w:rPr>
          <w:rFonts w:ascii="Arial" w:hAnsi="Arial" w:cs="Arial"/>
          <w:lang w:val="en-US"/>
        </w:rPr>
        <w:t xml:space="preserve">The key textual analysis is in </w:t>
      </w:r>
      <w:r w:rsidRPr="00CB4109">
        <w:rPr>
          <w:rFonts w:ascii="Arial" w:hAnsi="Arial" w:cs="Arial"/>
        </w:rPr>
        <w:t xml:space="preserve">Peers, S., Hervey, T., Kenner, J. &amp; Ward, A. (eds)(2014) </w:t>
      </w:r>
      <w:r w:rsidRPr="00CB4109">
        <w:rPr>
          <w:rFonts w:ascii="Arial" w:hAnsi="Arial" w:cs="Arial"/>
          <w:i/>
          <w:lang w:val="en-US"/>
        </w:rPr>
        <w:t>The EU Charter of Fundamental Rights - A Commentary</w:t>
      </w:r>
      <w:r w:rsidRPr="00CB4109">
        <w:rPr>
          <w:rFonts w:ascii="Arial" w:hAnsi="Arial" w:cs="Arial"/>
          <w:lang w:val="en-US"/>
        </w:rPr>
        <w:t xml:space="preserve"> </w:t>
      </w:r>
      <w:r w:rsidRPr="00CB4109">
        <w:rPr>
          <w:rFonts w:ascii="Arial" w:hAnsi="Arial" w:cs="Arial"/>
        </w:rPr>
        <w:t>(Oxford, Hart Publishing).</w:t>
      </w:r>
    </w:p>
  </w:footnote>
  <w:footnote w:id="3">
    <w:p w14:paraId="57398A72" w14:textId="0DCBE698" w:rsidR="00E71EB2" w:rsidRPr="00CB4109" w:rsidRDefault="00E71EB2" w:rsidP="0048325B">
      <w:pPr>
        <w:spacing w:after="0" w:line="240" w:lineRule="auto"/>
        <w:rPr>
          <w:rFonts w:ascii="Arial" w:hAnsi="Arial" w:cs="Arial"/>
          <w:sz w:val="20"/>
          <w:szCs w:val="20"/>
          <w:lang w:val="en-US"/>
        </w:rPr>
      </w:pPr>
      <w:r w:rsidRPr="00CB4109">
        <w:rPr>
          <w:rStyle w:val="FootnoteReference"/>
          <w:rFonts w:ascii="Arial" w:hAnsi="Arial" w:cs="Arial"/>
          <w:sz w:val="20"/>
          <w:szCs w:val="20"/>
        </w:rPr>
        <w:footnoteRef/>
      </w:r>
      <w:r w:rsidRPr="00CB4109">
        <w:rPr>
          <w:rFonts w:ascii="Arial" w:hAnsi="Arial" w:cs="Arial"/>
          <w:sz w:val="20"/>
          <w:szCs w:val="20"/>
        </w:rPr>
        <w:t xml:space="preserve"> </w:t>
      </w:r>
      <w:r w:rsidRPr="00CB4109">
        <w:rPr>
          <w:rFonts w:ascii="Arial" w:eastAsia="Times New Roman" w:hAnsi="Arial" w:cs="Arial"/>
          <w:sz w:val="20"/>
          <w:szCs w:val="20"/>
        </w:rPr>
        <w:t>European Parliament (2015), Resolution of 8 September 2015 on the situation of fundamental rights in the European Union (2013–2014) 2014/2254(INI)), Strasbourg, 8 September 2015, para. 20.</w:t>
      </w:r>
    </w:p>
  </w:footnote>
  <w:footnote w:id="4">
    <w:p w14:paraId="0B886E46" w14:textId="0C18868F" w:rsidR="00E71EB2" w:rsidRPr="00CB4109" w:rsidRDefault="00E71EB2" w:rsidP="0048325B">
      <w:pPr>
        <w:spacing w:after="0" w:line="240" w:lineRule="auto"/>
        <w:rPr>
          <w:rFonts w:ascii="Arial" w:hAnsi="Arial" w:cs="Arial"/>
          <w:sz w:val="20"/>
          <w:szCs w:val="20"/>
          <w:lang w:val="en-US"/>
        </w:rPr>
      </w:pPr>
      <w:r w:rsidRPr="00CB4109">
        <w:rPr>
          <w:rStyle w:val="FootnoteReference"/>
          <w:rFonts w:ascii="Arial" w:hAnsi="Arial" w:cs="Arial"/>
          <w:sz w:val="20"/>
          <w:szCs w:val="20"/>
        </w:rPr>
        <w:footnoteRef/>
      </w:r>
      <w:r w:rsidRPr="00CB4109">
        <w:rPr>
          <w:rFonts w:ascii="Arial" w:hAnsi="Arial" w:cs="Arial"/>
          <w:sz w:val="20"/>
          <w:szCs w:val="20"/>
        </w:rPr>
        <w:t xml:space="preserve"> </w:t>
      </w:r>
      <w:r w:rsidRPr="00CB4109">
        <w:rPr>
          <w:rFonts w:ascii="Arial" w:eastAsia="Times New Roman" w:hAnsi="Arial" w:cs="Arial"/>
          <w:sz w:val="20"/>
          <w:szCs w:val="20"/>
        </w:rPr>
        <w:t>Council of the European Union (2015), Council conclusions on the application of the Charter on Fundamental Rights in 2014, Brussels.</w:t>
      </w:r>
      <w:r w:rsidRPr="00CB4109">
        <w:rPr>
          <w:rFonts w:ascii="Arial" w:hAnsi="Arial" w:cs="Arial"/>
          <w:sz w:val="20"/>
          <w:szCs w:val="20"/>
        </w:rPr>
        <w:t xml:space="preserve"> </w:t>
      </w:r>
      <w:hyperlink r:id="rId2" w:history="1">
        <w:r w:rsidRPr="00CB4109">
          <w:rPr>
            <w:rStyle w:val="Hyperlink"/>
            <w:rFonts w:ascii="Arial" w:eastAsia="Times New Roman" w:hAnsi="Arial" w:cs="Arial"/>
            <w:sz w:val="20"/>
            <w:szCs w:val="20"/>
          </w:rPr>
          <w:t>http://data.consilium.europa.eu/doc/document/ST-9319-2015-INIT/en/pdf</w:t>
        </w:r>
      </w:hyperlink>
    </w:p>
  </w:footnote>
  <w:footnote w:id="5">
    <w:p w14:paraId="29105DDD" w14:textId="1F0232F5" w:rsidR="00E71EB2" w:rsidRPr="00CB4109" w:rsidRDefault="00E71EB2" w:rsidP="0048325B">
      <w:pPr>
        <w:pStyle w:val="FootnoteText"/>
        <w:rPr>
          <w:rFonts w:ascii="Arial" w:hAnsi="Arial" w:cs="Arial"/>
          <w:color w:val="000000"/>
        </w:rPr>
      </w:pPr>
      <w:r w:rsidRPr="00CB4109">
        <w:rPr>
          <w:rStyle w:val="FootnoteReference"/>
          <w:rFonts w:ascii="Arial" w:hAnsi="Arial" w:cs="Arial"/>
          <w:color w:val="000000"/>
        </w:rPr>
        <w:footnoteRef/>
      </w:r>
      <w:r w:rsidRPr="00CB4109">
        <w:rPr>
          <w:rFonts w:ascii="Arial" w:hAnsi="Arial" w:cs="Arial"/>
          <w:color w:val="000000"/>
        </w:rPr>
        <w:t xml:space="preserve"> </w:t>
      </w:r>
      <w:r w:rsidRPr="00CB4109">
        <w:rPr>
          <w:rFonts w:ascii="Arial" w:hAnsi="Arial" w:cs="Arial"/>
          <w:i/>
          <w:color w:val="000000"/>
        </w:rPr>
        <w:t>Charter of Fundamental Rights of the European Union,</w:t>
      </w:r>
      <w:r w:rsidRPr="00CB4109">
        <w:rPr>
          <w:rFonts w:ascii="Arial" w:hAnsi="Arial" w:cs="Arial"/>
          <w:color w:val="000000"/>
        </w:rPr>
        <w:t xml:space="preserve"> OJ 2000/C 364/01, 18.12.2000. See also website: </w:t>
      </w:r>
      <w:hyperlink r:id="rId3" w:history="1">
        <w:r w:rsidRPr="00CB4109">
          <w:rPr>
            <w:rStyle w:val="Hyperlink"/>
            <w:rFonts w:ascii="Arial" w:hAnsi="Arial" w:cs="Arial"/>
          </w:rPr>
          <w:t>http://www.fundamental.rights@consilium.eu.int</w:t>
        </w:r>
      </w:hyperlink>
    </w:p>
  </w:footnote>
  <w:footnote w:id="6">
    <w:p w14:paraId="0BE4AA6C" w14:textId="195AAE5F" w:rsidR="00E71EB2" w:rsidRPr="00CB4109" w:rsidRDefault="00E71EB2" w:rsidP="0048325B">
      <w:pPr>
        <w:pStyle w:val="NormalWeb"/>
        <w:spacing w:before="0" w:beforeAutospacing="0" w:after="0" w:afterAutospacing="0"/>
        <w:rPr>
          <w:rFonts w:ascii="Arial" w:hAnsi="Arial" w:cs="Arial"/>
          <w:sz w:val="20"/>
          <w:szCs w:val="20"/>
        </w:rPr>
      </w:pPr>
      <w:r w:rsidRPr="00CB4109">
        <w:rPr>
          <w:rStyle w:val="FootnoteReference"/>
          <w:rFonts w:ascii="Arial" w:hAnsi="Arial" w:cs="Arial"/>
          <w:sz w:val="20"/>
          <w:szCs w:val="20"/>
        </w:rPr>
        <w:footnoteRef/>
      </w:r>
      <w:r w:rsidRPr="00CB4109">
        <w:rPr>
          <w:rFonts w:ascii="Arial" w:hAnsi="Arial" w:cs="Arial"/>
          <w:sz w:val="20"/>
          <w:szCs w:val="20"/>
        </w:rPr>
        <w:t xml:space="preserve"> Consolidated versions of the Treaty on European Union and the Treaty on the Functioning of the European Union </w:t>
      </w:r>
      <w:r w:rsidRPr="00CB4109">
        <w:rPr>
          <w:rFonts w:ascii="Arial" w:hAnsi="Arial" w:cs="Arial"/>
          <w:i/>
          <w:sz w:val="20"/>
          <w:szCs w:val="20"/>
        </w:rPr>
        <w:t>Charter of Fundamental Rights of the European Union</w:t>
      </w:r>
      <w:r w:rsidRPr="00CB4109">
        <w:rPr>
          <w:rFonts w:ascii="Arial" w:hAnsi="Arial" w:cs="Arial"/>
          <w:sz w:val="20"/>
          <w:szCs w:val="20"/>
        </w:rPr>
        <w:t xml:space="preserve"> (OJ C 83/13, 30.3.2010). </w:t>
      </w:r>
    </w:p>
  </w:footnote>
  <w:footnote w:id="7">
    <w:p w14:paraId="387E4016" w14:textId="4CA72CF8" w:rsidR="00E71EB2" w:rsidRPr="00CB4109" w:rsidRDefault="00E71EB2" w:rsidP="0048325B">
      <w:pPr>
        <w:pStyle w:val="FootnoteText"/>
        <w:rPr>
          <w:rFonts w:ascii="Arial" w:hAnsi="Arial" w:cs="Arial"/>
          <w:color w:val="000000"/>
        </w:rPr>
      </w:pPr>
      <w:r w:rsidRPr="00CB4109">
        <w:rPr>
          <w:rStyle w:val="FootnoteReference"/>
          <w:rFonts w:ascii="Arial" w:hAnsi="Arial" w:cs="Arial"/>
        </w:rPr>
        <w:footnoteRef/>
      </w:r>
      <w:r w:rsidRPr="00CB4109">
        <w:rPr>
          <w:rFonts w:ascii="Arial" w:hAnsi="Arial" w:cs="Arial"/>
        </w:rPr>
        <w:t xml:space="preserve"> </w:t>
      </w:r>
      <w:r w:rsidRPr="00CB4109">
        <w:rPr>
          <w:rFonts w:ascii="Arial" w:hAnsi="Arial" w:cs="Arial"/>
          <w:i/>
        </w:rPr>
        <w:t>Charter of Fundamental Rights of the European Union</w:t>
      </w:r>
      <w:r w:rsidRPr="00CB4109">
        <w:rPr>
          <w:rFonts w:ascii="Arial" w:hAnsi="Arial" w:cs="Arial"/>
        </w:rPr>
        <w:t xml:space="preserve"> OJ 2010/C 83/02. See also </w:t>
      </w:r>
      <w:r w:rsidRPr="00CB4109">
        <w:rPr>
          <w:rFonts w:ascii="Arial" w:hAnsi="Arial" w:cs="Arial"/>
          <w:color w:val="000000"/>
        </w:rPr>
        <w:t>Dr Suzanne Kingston and Dr Liam Thornton (2015) </w:t>
      </w:r>
      <w:r w:rsidRPr="00CB4109">
        <w:rPr>
          <w:rFonts w:ascii="Arial" w:hAnsi="Arial" w:cs="Arial"/>
          <w:i/>
          <w:iCs/>
          <w:color w:val="000000"/>
        </w:rPr>
        <w:t xml:space="preserve">A Report on the Application of the European Convention on Human Rights Act 2003 and the European Charter of Fundamental Rights: Evaluation and Review. </w:t>
      </w:r>
      <w:r w:rsidRPr="00CB4109">
        <w:rPr>
          <w:rFonts w:ascii="Arial" w:hAnsi="Arial" w:cs="Arial"/>
          <w:color w:val="000000"/>
        </w:rPr>
        <w:t>Law Society of Ireland/Dublin Solicitors Bar Association.</w:t>
      </w:r>
    </w:p>
    <w:p w14:paraId="5E6AB7F7" w14:textId="5E6D6F58" w:rsidR="00E71EB2" w:rsidRPr="00CB4109" w:rsidRDefault="00E71EB2" w:rsidP="0048325B">
      <w:pPr>
        <w:pStyle w:val="FootnoteText"/>
        <w:rPr>
          <w:rFonts w:ascii="Arial" w:hAnsi="Arial" w:cs="Arial"/>
        </w:rPr>
      </w:pPr>
      <w:hyperlink r:id="rId4" w:tgtFrame="_blank" w:history="1">
        <w:r w:rsidRPr="00CB4109">
          <w:rPr>
            <w:rStyle w:val="Hyperlink"/>
            <w:rFonts w:ascii="Arial" w:hAnsi="Arial" w:cs="Arial"/>
            <w:color w:val="1155CC"/>
          </w:rPr>
          <w:t>https://www.lawsociety.ie/Documents/committees/hr/ECHRReport30July2015.pdf</w:t>
        </w:r>
      </w:hyperlink>
    </w:p>
  </w:footnote>
  <w:footnote w:id="8">
    <w:p w14:paraId="4F4DD5AB" w14:textId="64A3CE7A" w:rsidR="00E71EB2" w:rsidRPr="00CB4109" w:rsidRDefault="00E71EB2" w:rsidP="004832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0"/>
          <w:szCs w:val="20"/>
        </w:rPr>
      </w:pPr>
      <w:r w:rsidRPr="00CB4109">
        <w:rPr>
          <w:rStyle w:val="FootnoteReference"/>
          <w:rFonts w:ascii="Arial" w:hAnsi="Arial" w:cs="Arial"/>
          <w:sz w:val="20"/>
          <w:szCs w:val="20"/>
        </w:rPr>
        <w:footnoteRef/>
      </w:r>
      <w:r w:rsidRPr="00CB4109">
        <w:rPr>
          <w:rFonts w:ascii="Arial" w:hAnsi="Arial" w:cs="Arial"/>
          <w:sz w:val="20"/>
          <w:szCs w:val="20"/>
        </w:rPr>
        <w:t xml:space="preserve"> These </w:t>
      </w:r>
      <w:r w:rsidRPr="00CB4109">
        <w:rPr>
          <w:rFonts w:ascii="Arial" w:hAnsi="Arial" w:cs="Arial"/>
          <w:i/>
          <w:sz w:val="20"/>
          <w:szCs w:val="20"/>
        </w:rPr>
        <w:t>Explanations relating to the Charter of Fundamental Rights</w:t>
      </w:r>
      <w:r w:rsidRPr="00CB4109">
        <w:rPr>
          <w:rFonts w:ascii="Arial" w:hAnsi="Arial" w:cs="Arial"/>
          <w:sz w:val="20"/>
          <w:szCs w:val="20"/>
        </w:rPr>
        <w:t xml:space="preserve"> (OJ 2007/C 303/02) state </w:t>
      </w:r>
      <w:r w:rsidRPr="00CB4109">
        <w:rPr>
          <w:rFonts w:ascii="Arial" w:hAnsi="Arial" w:cs="Arial"/>
          <w:i/>
          <w:sz w:val="20"/>
          <w:szCs w:val="20"/>
        </w:rPr>
        <w:t>“Although they do not as such have the status of law, they are a valuable tool of interpretation intended to clarify the provisions of the Charter.”</w:t>
      </w:r>
      <w:r w:rsidRPr="00CB4109">
        <w:rPr>
          <w:rFonts w:ascii="Arial" w:hAnsi="Arial" w:cs="Arial"/>
          <w:sz w:val="20"/>
          <w:szCs w:val="20"/>
        </w:rPr>
        <w:t xml:space="preserve"> Available at: </w:t>
      </w:r>
      <w:hyperlink r:id="rId5" w:history="1">
        <w:r w:rsidRPr="00CB4109">
          <w:rPr>
            <w:rStyle w:val="Hyperlink"/>
            <w:rFonts w:ascii="Arial" w:hAnsi="Arial" w:cs="Arial"/>
            <w:sz w:val="20"/>
            <w:szCs w:val="20"/>
          </w:rPr>
          <w:t>http://eur-lex.europa.eu/LexUriServ/LexUriServ.do?uri=OJ:C:2007:303:0017:0035:en:PDF</w:t>
        </w:r>
      </w:hyperlink>
    </w:p>
  </w:footnote>
  <w:footnote w:id="9">
    <w:p w14:paraId="67392E73" w14:textId="5A54256C" w:rsidR="00E71EB2" w:rsidRPr="00CB4109" w:rsidRDefault="00E71EB2" w:rsidP="0048325B">
      <w:pPr>
        <w:pStyle w:val="FootnoteText"/>
        <w:rPr>
          <w:rFonts w:ascii="Arial" w:hAnsi="Arial" w:cs="Arial"/>
          <w:lang w:val="en-US"/>
        </w:rPr>
      </w:pPr>
      <w:r w:rsidRPr="00CB4109">
        <w:rPr>
          <w:rStyle w:val="FootnoteReference"/>
          <w:rFonts w:ascii="Arial" w:hAnsi="Arial" w:cs="Arial"/>
        </w:rPr>
        <w:footnoteRef/>
      </w:r>
      <w:r w:rsidRPr="00CB4109">
        <w:rPr>
          <w:rFonts w:ascii="Arial" w:hAnsi="Arial" w:cs="Arial"/>
        </w:rPr>
        <w:t xml:space="preserve"> See FRA: </w:t>
      </w:r>
      <w:hyperlink r:id="rId6" w:history="1">
        <w:r w:rsidRPr="00CB4109">
          <w:rPr>
            <w:rStyle w:val="Hyperlink"/>
            <w:rFonts w:ascii="Arial" w:hAnsi="Arial" w:cs="Arial"/>
          </w:rPr>
          <w:t>http://fra.europa.eu/en/Charterpedia</w:t>
        </w:r>
      </w:hyperlink>
      <w:r w:rsidRPr="00CB4109">
        <w:rPr>
          <w:rFonts w:ascii="Arial" w:hAnsi="Arial" w:cs="Arial"/>
        </w:rPr>
        <w:t xml:space="preserve">. See also </w:t>
      </w:r>
      <w:r w:rsidRPr="00CB4109">
        <w:rPr>
          <w:rFonts w:ascii="Arial" w:hAnsi="Arial" w:cs="Arial"/>
          <w:bCs/>
          <w:color w:val="000000" w:themeColor="text1"/>
        </w:rPr>
        <w:t xml:space="preserve">European Agency for Fundamental Rights, </w:t>
      </w:r>
      <w:r w:rsidRPr="00CB4109">
        <w:rPr>
          <w:rFonts w:ascii="Arial" w:eastAsia="Times New Roman" w:hAnsi="Arial" w:cs="Arial"/>
          <w:bCs/>
          <w:color w:val="000000" w:themeColor="text1"/>
        </w:rPr>
        <w:t xml:space="preserve">Fundamental Rights Report 2016 available at: </w:t>
      </w:r>
      <w:hyperlink r:id="rId7" w:history="1">
        <w:r w:rsidRPr="00CB4109">
          <w:rPr>
            <w:rStyle w:val="Hyperlink"/>
            <w:rFonts w:ascii="Arial" w:eastAsia="Times New Roman" w:hAnsi="Arial" w:cs="Arial"/>
            <w:bCs/>
          </w:rPr>
          <w:t>http://fra.europa.eu/sites/default/files/fra_uploads/fra-2016-fundamental-rights-report-2016-2_en.pdf</w:t>
        </w:r>
      </w:hyperlink>
    </w:p>
  </w:footnote>
  <w:footnote w:id="10">
    <w:p w14:paraId="17B7F235" w14:textId="6C53A58D" w:rsidR="00E71EB2" w:rsidRPr="00CB4109" w:rsidRDefault="00E71EB2" w:rsidP="0048325B">
      <w:pPr>
        <w:pStyle w:val="FootnoteText"/>
        <w:rPr>
          <w:rFonts w:ascii="Arial" w:hAnsi="Arial" w:cs="Arial"/>
          <w:lang w:val="en-US"/>
        </w:rPr>
      </w:pPr>
      <w:r w:rsidRPr="00CB4109">
        <w:rPr>
          <w:rStyle w:val="FootnoteReference"/>
          <w:rFonts w:ascii="Arial" w:hAnsi="Arial" w:cs="Arial"/>
        </w:rPr>
        <w:footnoteRef/>
      </w:r>
      <w:r w:rsidRPr="00CB4109">
        <w:rPr>
          <w:rFonts w:ascii="Arial" w:hAnsi="Arial" w:cs="Arial"/>
        </w:rPr>
        <w:t xml:space="preserve"> See </w:t>
      </w:r>
      <w:hyperlink r:id="rId8" w:history="1">
        <w:r w:rsidRPr="00CB4109">
          <w:rPr>
            <w:rStyle w:val="Hyperlink"/>
            <w:rFonts w:ascii="Arial" w:hAnsi="Arial" w:cs="Arial"/>
          </w:rPr>
          <w:t>http://ec.europa.eu/justice/fundamental-rights/Charter/application/index_en.htm</w:t>
        </w:r>
      </w:hyperlink>
      <w:r w:rsidRPr="00CB4109">
        <w:rPr>
          <w:rFonts w:ascii="Arial" w:hAnsi="Arial" w:cs="Arial"/>
        </w:rPr>
        <w:t xml:space="preserve">.  See also </w:t>
      </w:r>
      <w:r w:rsidRPr="00CB4109">
        <w:rPr>
          <w:rFonts w:ascii="Arial" w:eastAsia="Times New Roman" w:hAnsi="Arial" w:cs="Arial"/>
        </w:rPr>
        <w:t>Guidelines on Impact Assessment (2015)</w:t>
      </w:r>
      <w:r w:rsidRPr="00CB4109">
        <w:rPr>
          <w:rFonts w:ascii="Arial" w:hAnsi="Arial" w:cs="Arial"/>
        </w:rPr>
        <w:t xml:space="preserve"> </w:t>
      </w:r>
      <w:hyperlink r:id="rId9" w:history="1">
        <w:r w:rsidRPr="00CB4109">
          <w:rPr>
            <w:rStyle w:val="Hyperlink"/>
            <w:rFonts w:ascii="Arial" w:eastAsia="Times New Roman" w:hAnsi="Arial" w:cs="Arial"/>
          </w:rPr>
          <w:t>http://ec.europa.eu/smart-regulation/guidelines/ug_chap3_en.htm</w:t>
        </w:r>
      </w:hyperlink>
      <w:r w:rsidRPr="00CB4109">
        <w:rPr>
          <w:rFonts w:ascii="Arial" w:eastAsia="Times New Roman" w:hAnsi="Arial" w:cs="Arial"/>
        </w:rPr>
        <w:t xml:space="preserve"> (Last update: 19/05/2015).</w:t>
      </w:r>
    </w:p>
  </w:footnote>
  <w:footnote w:id="11">
    <w:p w14:paraId="0809943A" w14:textId="0C0094B2" w:rsidR="00E71EB2" w:rsidRPr="00CB4109" w:rsidRDefault="00E71EB2" w:rsidP="0048325B">
      <w:pPr>
        <w:pStyle w:val="FootnoteText"/>
        <w:rPr>
          <w:rFonts w:ascii="Arial" w:hAnsi="Arial" w:cs="Arial"/>
          <w:lang w:val="en-US"/>
        </w:rPr>
      </w:pPr>
      <w:r w:rsidRPr="00CB4109">
        <w:rPr>
          <w:rStyle w:val="FootnoteReference"/>
          <w:rFonts w:ascii="Arial" w:hAnsi="Arial" w:cs="Arial"/>
        </w:rPr>
        <w:footnoteRef/>
      </w:r>
      <w:r w:rsidRPr="00CB4109">
        <w:rPr>
          <w:rFonts w:ascii="Arial" w:hAnsi="Arial" w:cs="Arial"/>
        </w:rPr>
        <w:t xml:space="preserve"> </w:t>
      </w:r>
      <w:r w:rsidRPr="00CB4109">
        <w:rPr>
          <w:rFonts w:ascii="Arial" w:eastAsia="Times New Roman" w:hAnsi="Arial" w:cs="Arial"/>
        </w:rPr>
        <w:t xml:space="preserve">See Court of Justice of the European Union, Annual Report 2014 at </w:t>
      </w:r>
      <w:hyperlink r:id="rId10" w:history="1">
        <w:r w:rsidRPr="00CB4109">
          <w:rPr>
            <w:rStyle w:val="Hyperlink"/>
            <w:rFonts w:ascii="Arial" w:eastAsia="Times New Roman" w:hAnsi="Arial" w:cs="Arial"/>
          </w:rPr>
          <w:t>http://curia.europa.eu/jcms/upload/docs/application/pdf/2015-04/en_ecj_annual_report_2014_pr1.pdf</w:t>
        </w:r>
      </w:hyperlink>
      <w:r w:rsidRPr="00CB4109">
        <w:rPr>
          <w:rFonts w:ascii="Arial" w:eastAsia="Times New Roman" w:hAnsi="Arial" w:cs="Arial"/>
        </w:rPr>
        <w:t xml:space="preserve">. </w:t>
      </w:r>
    </w:p>
  </w:footnote>
  <w:footnote w:id="12">
    <w:p w14:paraId="72DAC9FC" w14:textId="20218B9D" w:rsidR="00E71EB2" w:rsidRPr="00CB4109" w:rsidRDefault="00E71EB2" w:rsidP="0048325B">
      <w:pPr>
        <w:pStyle w:val="FootnoteText"/>
        <w:rPr>
          <w:rFonts w:ascii="Arial" w:hAnsi="Arial" w:cs="Arial"/>
          <w:lang w:val="en-US"/>
        </w:rPr>
      </w:pPr>
      <w:r w:rsidRPr="00CB4109">
        <w:rPr>
          <w:rStyle w:val="FootnoteReference"/>
          <w:rFonts w:ascii="Arial" w:hAnsi="Arial" w:cs="Arial"/>
        </w:rPr>
        <w:footnoteRef/>
      </w:r>
      <w:r w:rsidRPr="00CB4109">
        <w:rPr>
          <w:rFonts w:ascii="Arial" w:hAnsi="Arial" w:cs="Arial"/>
        </w:rPr>
        <w:t xml:space="preserve"> </w:t>
      </w:r>
      <w:r w:rsidRPr="00CB4109">
        <w:rPr>
          <w:rFonts w:ascii="Arial" w:hAnsi="Arial" w:cs="Arial"/>
          <w:lang w:val="en-US"/>
        </w:rPr>
        <w:t xml:space="preserve">See Flash Eurobarometer 416 – European Commission (February 2015) at: </w:t>
      </w:r>
      <w:hyperlink r:id="rId11" w:history="1">
        <w:r w:rsidRPr="00CB4109">
          <w:rPr>
            <w:rStyle w:val="Hyperlink"/>
            <w:rFonts w:ascii="Arial" w:hAnsi="Arial" w:cs="Arial"/>
            <w:lang w:val="en-US"/>
          </w:rPr>
          <w:t>http://ec.europa.eu/justice/fundamental-rights/files/flash_eurobarometer_416_charter_-_summary_en.pdf</w:t>
        </w:r>
      </w:hyperlink>
    </w:p>
  </w:footnote>
  <w:footnote w:id="13">
    <w:p w14:paraId="63A9B461" w14:textId="77777777" w:rsidR="00E71EB2" w:rsidRPr="00CB4109" w:rsidRDefault="00E71EB2" w:rsidP="0048325B">
      <w:pPr>
        <w:pStyle w:val="FootnoteText"/>
        <w:rPr>
          <w:rFonts w:ascii="Arial" w:hAnsi="Arial" w:cs="Arial"/>
          <w:lang w:val="en-US"/>
        </w:rPr>
      </w:pPr>
      <w:r w:rsidRPr="00CB4109">
        <w:rPr>
          <w:rStyle w:val="FootnoteReference"/>
          <w:rFonts w:ascii="Arial" w:hAnsi="Arial" w:cs="Arial"/>
        </w:rPr>
        <w:footnoteRef/>
      </w:r>
      <w:r w:rsidRPr="00CB4109">
        <w:rPr>
          <w:rFonts w:ascii="Arial" w:hAnsi="Arial" w:cs="Arial"/>
        </w:rPr>
        <w:t xml:space="preserve"> FRA, </w:t>
      </w:r>
      <w:r w:rsidRPr="00CB4109">
        <w:rPr>
          <w:rFonts w:ascii="Arial" w:eastAsia="Times New Roman" w:hAnsi="Arial" w:cs="Arial"/>
          <w:bCs/>
          <w:i/>
          <w:color w:val="000000" w:themeColor="text1"/>
        </w:rPr>
        <w:t>Fundamental Rights Report 2016,</w:t>
      </w:r>
      <w:r w:rsidRPr="00CB4109">
        <w:rPr>
          <w:rFonts w:ascii="Arial" w:eastAsia="Times New Roman" w:hAnsi="Arial" w:cs="Arial"/>
          <w:bCs/>
          <w:color w:val="000000" w:themeColor="text1"/>
        </w:rPr>
        <w:t xml:space="preserve"> p. 40. (No decisions were reported for Croatia or Denmark). See </w:t>
      </w:r>
      <w:hyperlink r:id="rId12" w:history="1">
        <w:r w:rsidRPr="00CB4109">
          <w:rPr>
            <w:rStyle w:val="Hyperlink"/>
            <w:rFonts w:ascii="Arial" w:eastAsia="Times New Roman" w:hAnsi="Arial" w:cs="Arial"/>
            <w:bCs/>
          </w:rPr>
          <w:t>http://fra.europa.eu/sites/default/files/fra_uploads/fra-2016-frr-chapter-1-eu-charter-2_en.pdf</w:t>
        </w:r>
      </w:hyperlink>
    </w:p>
  </w:footnote>
  <w:footnote w:id="14">
    <w:p w14:paraId="0079CD60" w14:textId="77777777" w:rsidR="00E71EB2" w:rsidRPr="00CB4109" w:rsidRDefault="00E71EB2" w:rsidP="0048325B">
      <w:pPr>
        <w:pStyle w:val="FootnoteText"/>
        <w:rPr>
          <w:rFonts w:ascii="Arial" w:hAnsi="Arial" w:cs="Arial"/>
          <w:lang w:val="en-US"/>
        </w:rPr>
      </w:pPr>
      <w:r w:rsidRPr="00CB4109">
        <w:rPr>
          <w:rStyle w:val="FootnoteReference"/>
          <w:rFonts w:ascii="Arial" w:hAnsi="Arial" w:cs="Arial"/>
        </w:rPr>
        <w:footnoteRef/>
      </w:r>
      <w:r w:rsidRPr="00CB4109">
        <w:rPr>
          <w:rFonts w:ascii="Arial" w:hAnsi="Arial" w:cs="Arial"/>
        </w:rPr>
        <w:t xml:space="preserve"> </w:t>
      </w:r>
      <w:r w:rsidRPr="00CB4109">
        <w:rPr>
          <w:rFonts w:ascii="Arial" w:hAnsi="Arial" w:cs="Arial"/>
          <w:i/>
        </w:rPr>
        <w:t>Ibid</w:t>
      </w:r>
      <w:r w:rsidRPr="00CB4109">
        <w:rPr>
          <w:rFonts w:ascii="Arial" w:hAnsi="Arial" w:cs="Arial"/>
        </w:rPr>
        <w:t xml:space="preserve">, </w:t>
      </w:r>
      <w:r w:rsidRPr="00CB4109">
        <w:rPr>
          <w:rFonts w:ascii="Arial" w:eastAsia="Times New Roman" w:hAnsi="Arial" w:cs="Arial"/>
          <w:bCs/>
          <w:color w:val="000000" w:themeColor="text1"/>
        </w:rPr>
        <w:t>p. 41.</w:t>
      </w:r>
    </w:p>
  </w:footnote>
  <w:footnote w:id="15">
    <w:p w14:paraId="776003AE" w14:textId="77777777" w:rsidR="00E71EB2" w:rsidRPr="00CB4109" w:rsidRDefault="00E71EB2" w:rsidP="0048325B">
      <w:pPr>
        <w:pStyle w:val="FootnoteText"/>
        <w:rPr>
          <w:rFonts w:ascii="Arial" w:hAnsi="Arial" w:cs="Arial"/>
          <w:lang w:val="en-US"/>
        </w:rPr>
      </w:pPr>
      <w:r w:rsidRPr="00CB4109">
        <w:rPr>
          <w:rStyle w:val="FootnoteReference"/>
          <w:rFonts w:ascii="Arial" w:hAnsi="Arial" w:cs="Arial"/>
        </w:rPr>
        <w:footnoteRef/>
      </w:r>
      <w:r w:rsidRPr="00CB4109">
        <w:rPr>
          <w:rFonts w:ascii="Arial" w:hAnsi="Arial" w:cs="Arial"/>
        </w:rPr>
        <w:t xml:space="preserve">  See  FRA, </w:t>
      </w:r>
      <w:r w:rsidRPr="00CB4109">
        <w:rPr>
          <w:rFonts w:ascii="Arial" w:eastAsia="Times New Roman" w:hAnsi="Arial" w:cs="Arial"/>
          <w:bCs/>
          <w:i/>
          <w:color w:val="000000" w:themeColor="text1"/>
        </w:rPr>
        <w:t>Fundamental Rights Report 2016</w:t>
      </w:r>
      <w:r w:rsidRPr="00CB4109">
        <w:rPr>
          <w:rFonts w:ascii="Arial" w:eastAsia="Times New Roman" w:hAnsi="Arial" w:cs="Arial"/>
          <w:bCs/>
          <w:color w:val="000000" w:themeColor="text1"/>
        </w:rPr>
        <w:t>, pp. 40/41.</w:t>
      </w:r>
      <w:r w:rsidRPr="00CB4109">
        <w:rPr>
          <w:rFonts w:ascii="Arial" w:hAnsi="Arial" w:cs="Arial"/>
        </w:rPr>
        <w:t xml:space="preserve">    </w:t>
      </w:r>
      <w:hyperlink r:id="rId13" w:history="1">
        <w:r w:rsidRPr="00CB4109">
          <w:rPr>
            <w:rStyle w:val="Hyperlink"/>
            <w:rFonts w:ascii="Arial" w:hAnsi="Arial" w:cs="Arial"/>
          </w:rPr>
          <w:t>http://fra.europa.eu/sites/default/files/fra_uploads/fra-2016-frr-chapter-1-eu-Charter-2_en.pdf</w:t>
        </w:r>
      </w:hyperlink>
    </w:p>
  </w:footnote>
  <w:footnote w:id="16">
    <w:p w14:paraId="6E8CB2DB" w14:textId="77777777" w:rsidR="00E71EB2" w:rsidRPr="00CB4109" w:rsidRDefault="00E71EB2" w:rsidP="0048325B">
      <w:pPr>
        <w:pStyle w:val="FootnoteText"/>
        <w:rPr>
          <w:rFonts w:ascii="Arial" w:hAnsi="Arial" w:cs="Arial"/>
          <w:lang w:val="en-US"/>
        </w:rPr>
      </w:pPr>
      <w:r w:rsidRPr="00CB4109">
        <w:rPr>
          <w:rStyle w:val="FootnoteReference"/>
          <w:rFonts w:ascii="Arial" w:hAnsi="Arial" w:cs="Arial"/>
        </w:rPr>
        <w:footnoteRef/>
      </w:r>
      <w:r w:rsidRPr="00CB4109">
        <w:rPr>
          <w:rFonts w:ascii="Arial" w:hAnsi="Arial" w:cs="Arial"/>
        </w:rPr>
        <w:t xml:space="preserve"> See </w:t>
      </w:r>
      <w:r w:rsidRPr="00CB4109">
        <w:rPr>
          <w:rFonts w:ascii="Arial" w:hAnsi="Arial" w:cs="Arial"/>
          <w:color w:val="000000"/>
        </w:rPr>
        <w:t>Kingston and Thornton (2015), p. 150.</w:t>
      </w:r>
    </w:p>
  </w:footnote>
  <w:footnote w:id="17">
    <w:p w14:paraId="29FC5BEB" w14:textId="21EDCB87" w:rsidR="00E71EB2" w:rsidRPr="00CB4109" w:rsidRDefault="00E71EB2" w:rsidP="0048325B">
      <w:pPr>
        <w:pStyle w:val="Footer"/>
        <w:rPr>
          <w:rFonts w:ascii="Arial" w:hAnsi="Arial" w:cs="Arial"/>
          <w:sz w:val="20"/>
          <w:szCs w:val="20"/>
        </w:rPr>
      </w:pPr>
      <w:r w:rsidRPr="00CB4109">
        <w:rPr>
          <w:rStyle w:val="FootnoteReference"/>
          <w:rFonts w:ascii="Arial" w:hAnsi="Arial" w:cs="Arial"/>
          <w:sz w:val="20"/>
          <w:szCs w:val="20"/>
        </w:rPr>
        <w:footnoteRef/>
      </w:r>
      <w:r w:rsidRPr="00CB4109">
        <w:rPr>
          <w:rFonts w:ascii="Arial" w:hAnsi="Arial" w:cs="Arial"/>
          <w:sz w:val="20"/>
          <w:szCs w:val="20"/>
        </w:rPr>
        <w:t xml:space="preserve"> Consolidated versions of the Treaty on European Union and the Treaty on the Functioning of the European Union </w:t>
      </w:r>
      <w:r w:rsidRPr="00CB4109">
        <w:rPr>
          <w:rFonts w:ascii="Arial" w:hAnsi="Arial" w:cs="Arial"/>
          <w:i/>
          <w:sz w:val="20"/>
          <w:szCs w:val="20"/>
        </w:rPr>
        <w:t>Charter of Fundamental Rights of the European Union</w:t>
      </w:r>
      <w:r w:rsidRPr="00CB4109">
        <w:rPr>
          <w:rFonts w:ascii="Arial" w:hAnsi="Arial" w:cs="Arial"/>
          <w:sz w:val="20"/>
          <w:szCs w:val="20"/>
        </w:rPr>
        <w:t xml:space="preserve"> (OJ C 83/13, 30.3.2010). </w:t>
      </w:r>
      <w:hyperlink r:id="rId14" w:history="1">
        <w:r w:rsidRPr="00CB4109">
          <w:rPr>
            <w:rStyle w:val="Hyperlink"/>
            <w:rFonts w:ascii="Arial" w:hAnsi="Arial" w:cs="Arial"/>
            <w:sz w:val="20"/>
            <w:szCs w:val="20"/>
          </w:rPr>
          <w:t>http://eur-lex.europa.eu/legal-content/EN/TXT/?uri=uriserv:OJ.C_.2010.083.01.0389.01.ENG&amp;toc=OJ:C:2010:083:TOC</w:t>
        </w:r>
      </w:hyperlink>
    </w:p>
  </w:footnote>
  <w:footnote w:id="18">
    <w:p w14:paraId="0C91F80D" w14:textId="73FD3897" w:rsidR="00E71EB2" w:rsidRPr="00CB4109" w:rsidRDefault="00E71EB2" w:rsidP="0048325B">
      <w:pPr>
        <w:spacing w:after="0" w:line="240" w:lineRule="auto"/>
        <w:rPr>
          <w:rFonts w:ascii="Arial" w:hAnsi="Arial" w:cs="Arial"/>
          <w:sz w:val="20"/>
          <w:szCs w:val="20"/>
          <w:lang w:val="en-US"/>
        </w:rPr>
      </w:pPr>
      <w:r w:rsidRPr="00CB4109">
        <w:rPr>
          <w:rStyle w:val="FootnoteReference"/>
          <w:rFonts w:ascii="Arial" w:hAnsi="Arial" w:cs="Arial"/>
          <w:sz w:val="20"/>
          <w:szCs w:val="20"/>
        </w:rPr>
        <w:footnoteRef/>
      </w:r>
      <w:r w:rsidRPr="00CB4109">
        <w:rPr>
          <w:rFonts w:ascii="Arial" w:hAnsi="Arial" w:cs="Arial"/>
          <w:sz w:val="20"/>
          <w:szCs w:val="20"/>
        </w:rPr>
        <w:t xml:space="preserve"> </w:t>
      </w:r>
      <w:r w:rsidRPr="00CB4109">
        <w:rPr>
          <w:rFonts w:ascii="Arial" w:eastAsia="Times New Roman" w:hAnsi="Arial" w:cs="Arial"/>
          <w:sz w:val="20"/>
          <w:szCs w:val="20"/>
        </w:rPr>
        <w:t xml:space="preserve">Case C-236/09, </w:t>
      </w:r>
      <w:r w:rsidRPr="00CB4109">
        <w:rPr>
          <w:rFonts w:ascii="Arial" w:eastAsia="Times New Roman" w:hAnsi="Arial" w:cs="Arial"/>
          <w:i/>
          <w:sz w:val="20"/>
          <w:szCs w:val="20"/>
        </w:rPr>
        <w:t>Association belge des Consommateurs Test-Achats ASBL v Council</w:t>
      </w:r>
      <w:r w:rsidRPr="00CB4109">
        <w:rPr>
          <w:rFonts w:ascii="Arial" w:eastAsia="Times New Roman" w:hAnsi="Arial" w:cs="Arial"/>
          <w:sz w:val="20"/>
          <w:szCs w:val="20"/>
        </w:rPr>
        <w:t xml:space="preserve">,11 March 2011. </w:t>
      </w:r>
    </w:p>
  </w:footnote>
  <w:footnote w:id="19">
    <w:p w14:paraId="5A3925A0" w14:textId="1847E39D" w:rsidR="00E71EB2" w:rsidRPr="00CB4109" w:rsidRDefault="00E71EB2" w:rsidP="0048325B">
      <w:pPr>
        <w:spacing w:after="0" w:line="240" w:lineRule="auto"/>
        <w:rPr>
          <w:rFonts w:ascii="Arial" w:hAnsi="Arial" w:cs="Arial"/>
          <w:sz w:val="20"/>
          <w:szCs w:val="20"/>
        </w:rPr>
      </w:pPr>
      <w:r w:rsidRPr="00CB4109">
        <w:rPr>
          <w:rStyle w:val="FootnoteReference"/>
          <w:rFonts w:ascii="Arial" w:hAnsi="Arial" w:cs="Arial"/>
          <w:sz w:val="20"/>
          <w:szCs w:val="20"/>
        </w:rPr>
        <w:footnoteRef/>
      </w:r>
      <w:r w:rsidRPr="00CB4109">
        <w:rPr>
          <w:rFonts w:ascii="Arial" w:hAnsi="Arial" w:cs="Arial"/>
          <w:sz w:val="20"/>
          <w:szCs w:val="20"/>
        </w:rPr>
        <w:t xml:space="preserve"> “</w:t>
      </w:r>
      <w:r w:rsidRPr="00CB4109">
        <w:rPr>
          <w:rFonts w:ascii="Arial" w:eastAsia="Times New Roman" w:hAnsi="Arial" w:cs="Arial"/>
          <w:sz w:val="20"/>
          <w:szCs w:val="20"/>
        </w:rPr>
        <w:t xml:space="preserve">The Union is founded on the values of respect for human dignity, freedom, democracy, equality, the rule of law and respect for human rights, including the rights of persons belonging to minorities. These values are common to the Member States in a society in which pluralism, non-discrimination, tolerance, justice, solidarity and equality between women and men prevail.” </w:t>
      </w:r>
      <w:r w:rsidRPr="00CB4109">
        <w:rPr>
          <w:rFonts w:ascii="Arial" w:hAnsi="Arial" w:cs="Arial"/>
          <w:sz w:val="20"/>
          <w:szCs w:val="20"/>
        </w:rPr>
        <w:t xml:space="preserve">See Case 11/70 </w:t>
      </w:r>
      <w:r w:rsidRPr="00CB4109">
        <w:rPr>
          <w:rFonts w:ascii="Arial" w:hAnsi="Arial" w:cs="Arial"/>
          <w:i/>
          <w:sz w:val="20"/>
          <w:szCs w:val="20"/>
        </w:rPr>
        <w:t xml:space="preserve">Internationale Handelsgesellschaft v Einfuhr und Vorratstelle fur Getreide und Futtermittel </w:t>
      </w:r>
      <w:r w:rsidRPr="00CB4109">
        <w:rPr>
          <w:rFonts w:ascii="Arial" w:hAnsi="Arial" w:cs="Arial"/>
          <w:sz w:val="20"/>
          <w:szCs w:val="20"/>
        </w:rPr>
        <w:t xml:space="preserve">[1970] ECHR 1125; Case 4/73 </w:t>
      </w:r>
      <w:r w:rsidRPr="00CB4109">
        <w:rPr>
          <w:rFonts w:ascii="Arial" w:hAnsi="Arial" w:cs="Arial"/>
          <w:i/>
          <w:sz w:val="20"/>
          <w:szCs w:val="20"/>
        </w:rPr>
        <w:t>Nold v Commission</w:t>
      </w:r>
      <w:r w:rsidRPr="00CB4109">
        <w:rPr>
          <w:rFonts w:ascii="Arial" w:hAnsi="Arial" w:cs="Arial"/>
          <w:sz w:val="20"/>
          <w:szCs w:val="20"/>
        </w:rPr>
        <w:t xml:space="preserve"> [1974] ECR 491; Case 44/79 </w:t>
      </w:r>
      <w:r w:rsidRPr="00CB4109">
        <w:rPr>
          <w:rFonts w:ascii="Arial" w:hAnsi="Arial" w:cs="Arial"/>
          <w:i/>
          <w:sz w:val="20"/>
          <w:szCs w:val="20"/>
        </w:rPr>
        <w:t>Hauer v Land Rheinland-Pfalz</w:t>
      </w:r>
      <w:r w:rsidRPr="00CB4109">
        <w:rPr>
          <w:rFonts w:ascii="Arial" w:hAnsi="Arial" w:cs="Arial"/>
          <w:sz w:val="20"/>
          <w:szCs w:val="20"/>
        </w:rPr>
        <w:t xml:space="preserve"> [1979] ECR 3727.</w:t>
      </w:r>
    </w:p>
  </w:footnote>
  <w:footnote w:id="20">
    <w:p w14:paraId="1BCDF1A8" w14:textId="7DC28ADA" w:rsidR="00E71EB2" w:rsidRPr="00CB4109" w:rsidRDefault="00E71EB2" w:rsidP="0048325B">
      <w:pPr>
        <w:pStyle w:val="Heading1"/>
        <w:spacing w:before="0" w:line="240" w:lineRule="auto"/>
        <w:rPr>
          <w:rFonts w:ascii="Arial" w:eastAsia="Times New Roman" w:hAnsi="Arial" w:cs="Arial"/>
          <w:b w:val="0"/>
          <w:bCs w:val="0"/>
          <w:color w:val="000000" w:themeColor="text1"/>
          <w:sz w:val="20"/>
          <w:szCs w:val="20"/>
        </w:rPr>
      </w:pPr>
      <w:r w:rsidRPr="00CB4109">
        <w:rPr>
          <w:rStyle w:val="FootnoteReference"/>
          <w:rFonts w:ascii="Arial" w:hAnsi="Arial" w:cs="Arial"/>
          <w:b w:val="0"/>
          <w:bCs w:val="0"/>
          <w:color w:val="000000" w:themeColor="text1"/>
          <w:sz w:val="20"/>
          <w:szCs w:val="20"/>
        </w:rPr>
        <w:footnoteRef/>
      </w:r>
      <w:r w:rsidRPr="00CB4109">
        <w:rPr>
          <w:rFonts w:ascii="Arial" w:hAnsi="Arial" w:cs="Arial"/>
          <w:b w:val="0"/>
          <w:bCs w:val="0"/>
          <w:color w:val="000000" w:themeColor="text1"/>
          <w:sz w:val="20"/>
          <w:szCs w:val="20"/>
        </w:rPr>
        <w:t xml:space="preserve"> </w:t>
      </w:r>
      <w:r w:rsidRPr="00CB4109">
        <w:rPr>
          <w:rFonts w:ascii="Arial" w:hAnsi="Arial" w:cs="Arial"/>
          <w:b w:val="0"/>
          <w:bCs w:val="0"/>
          <w:color w:val="000000" w:themeColor="text1"/>
          <w:sz w:val="20"/>
          <w:szCs w:val="20"/>
          <w:lang w:val="en-US"/>
        </w:rPr>
        <w:t xml:space="preserve">There is much debate, especially in UK literature, about the distinction between the ‘rights’ and ‘principles’ </w:t>
      </w:r>
      <w:r w:rsidRPr="00CB4109">
        <w:rPr>
          <w:rFonts w:ascii="Arial" w:eastAsia="Times New Roman" w:hAnsi="Arial" w:cs="Arial"/>
          <w:b w:val="0"/>
          <w:bCs w:val="0"/>
          <w:color w:val="000000" w:themeColor="text1"/>
          <w:sz w:val="20"/>
          <w:szCs w:val="20"/>
        </w:rPr>
        <w:t xml:space="preserve">enshrined in Articles 51 (1) and 52 (5) of the Charter. Article 52 (5) states that ‘principles’ are ‘judicially cognisable’ only in the interpretation of their implementing acts and the ruling on their legality, whereas rights have a more autonomous application. </w:t>
      </w:r>
      <w:r w:rsidRPr="00CB4109">
        <w:rPr>
          <w:rFonts w:ascii="Arial" w:eastAsia="Times New Roman" w:hAnsi="Arial" w:cs="Arial"/>
          <w:b w:val="0"/>
          <w:bCs w:val="0"/>
          <w:i/>
          <w:color w:val="000000" w:themeColor="text1"/>
          <w:sz w:val="20"/>
          <w:szCs w:val="20"/>
        </w:rPr>
        <w:t>The Explanations</w:t>
      </w:r>
      <w:r w:rsidRPr="00CB4109">
        <w:rPr>
          <w:rFonts w:ascii="Arial" w:eastAsia="Times New Roman" w:hAnsi="Arial" w:cs="Arial"/>
          <w:b w:val="0"/>
          <w:bCs w:val="0"/>
          <w:color w:val="000000" w:themeColor="text1"/>
          <w:sz w:val="20"/>
          <w:szCs w:val="20"/>
        </w:rPr>
        <w:t xml:space="preserve"> state that Article 52(5) “</w:t>
      </w:r>
      <w:r w:rsidRPr="00CB4109">
        <w:rPr>
          <w:rFonts w:ascii="Arial" w:hAnsi="Arial" w:cs="Arial"/>
          <w:b w:val="0"/>
          <w:bCs w:val="0"/>
          <w:color w:val="000000" w:themeColor="text1"/>
          <w:sz w:val="20"/>
          <w:szCs w:val="20"/>
          <w:lang w:val="en-US"/>
        </w:rPr>
        <w:t xml:space="preserve">clarifies the distinction between ‘rights’ and ‘principles’ set out in the Charter. According to that distinction, subjective rights shall be respected, whereas principles shall be observed (Article 51(1)). Principles may be implemented through legislative or executive acts (adopted by the Union in accordance with its powers, and by the Member States only when they implement Union law); accordingly, they become significant for the Courts only when such acts are interpreted or reviewed. They do not however give rise to direct claims for positive action by the Union's institutions or Member States authorities.” But see </w:t>
      </w:r>
      <w:r w:rsidRPr="00CB4109">
        <w:rPr>
          <w:rFonts w:ascii="Arial" w:eastAsia="Times New Roman" w:hAnsi="Arial" w:cs="Arial"/>
          <w:b w:val="0"/>
          <w:bCs w:val="0"/>
          <w:color w:val="000000" w:themeColor="text1"/>
          <w:sz w:val="20"/>
          <w:szCs w:val="20"/>
        </w:rPr>
        <w:t xml:space="preserve">C-411-10 and C-493-10, Joined cases of </w:t>
      </w:r>
      <w:r w:rsidRPr="00CB4109">
        <w:rPr>
          <w:rFonts w:ascii="Arial" w:eastAsia="Times New Roman" w:hAnsi="Arial" w:cs="Arial"/>
          <w:b w:val="0"/>
          <w:bCs w:val="0"/>
          <w:i/>
          <w:color w:val="000000" w:themeColor="text1"/>
          <w:sz w:val="20"/>
          <w:szCs w:val="20"/>
        </w:rPr>
        <w:t>N.S. v United Kingdom</w:t>
      </w:r>
      <w:r w:rsidRPr="00CB4109">
        <w:rPr>
          <w:rFonts w:ascii="Arial" w:eastAsia="Times New Roman" w:hAnsi="Arial" w:cs="Arial"/>
          <w:b w:val="0"/>
          <w:bCs w:val="0"/>
          <w:color w:val="000000" w:themeColor="text1"/>
          <w:sz w:val="20"/>
          <w:szCs w:val="20"/>
        </w:rPr>
        <w:t xml:space="preserve"> and </w:t>
      </w:r>
      <w:r w:rsidRPr="00CB4109">
        <w:rPr>
          <w:rFonts w:ascii="Arial" w:eastAsia="Times New Roman" w:hAnsi="Arial" w:cs="Arial"/>
          <w:b w:val="0"/>
          <w:bCs w:val="0"/>
          <w:i/>
          <w:color w:val="000000" w:themeColor="text1"/>
          <w:sz w:val="20"/>
          <w:szCs w:val="20"/>
        </w:rPr>
        <w:t>M.E. v Ireland</w:t>
      </w:r>
      <w:r w:rsidRPr="00CB4109">
        <w:rPr>
          <w:rFonts w:ascii="Arial" w:eastAsia="Times New Roman" w:hAnsi="Arial" w:cs="Arial"/>
          <w:b w:val="0"/>
          <w:bCs w:val="0"/>
          <w:color w:val="000000" w:themeColor="text1"/>
          <w:sz w:val="20"/>
          <w:szCs w:val="20"/>
        </w:rPr>
        <w:t xml:space="preserve"> where the distinction between rights and principles was largely ignored.</w:t>
      </w:r>
    </w:p>
    <w:p w14:paraId="1933AAAF" w14:textId="11C6703F" w:rsidR="00E71EB2" w:rsidRPr="00CB4109" w:rsidRDefault="00E71EB2" w:rsidP="0048325B">
      <w:pPr>
        <w:widowControl w:val="0"/>
        <w:autoSpaceDE w:val="0"/>
        <w:autoSpaceDN w:val="0"/>
        <w:adjustRightInd w:val="0"/>
        <w:spacing w:after="0" w:line="240" w:lineRule="auto"/>
        <w:rPr>
          <w:rFonts w:ascii="Arial" w:hAnsi="Arial" w:cs="Arial"/>
          <w:sz w:val="20"/>
          <w:szCs w:val="20"/>
          <w:lang w:val="en-US"/>
        </w:rPr>
      </w:pPr>
    </w:p>
  </w:footnote>
  <w:footnote w:id="21">
    <w:p w14:paraId="64921530" w14:textId="1F474C14" w:rsidR="00E71EB2" w:rsidRPr="00CB4109" w:rsidRDefault="00E71EB2" w:rsidP="0048325B">
      <w:pPr>
        <w:pStyle w:val="FootnoteText"/>
        <w:rPr>
          <w:rFonts w:ascii="Arial" w:hAnsi="Arial" w:cs="Arial"/>
          <w:lang w:val="en-US"/>
        </w:rPr>
      </w:pPr>
      <w:r w:rsidRPr="00CB4109">
        <w:rPr>
          <w:rStyle w:val="FootnoteReference"/>
          <w:rFonts w:ascii="Arial" w:hAnsi="Arial" w:cs="Arial"/>
        </w:rPr>
        <w:footnoteRef/>
      </w:r>
      <w:r w:rsidRPr="00CB4109">
        <w:rPr>
          <w:rFonts w:ascii="Arial" w:hAnsi="Arial" w:cs="Arial"/>
        </w:rPr>
        <w:t xml:space="preserve"> </w:t>
      </w:r>
      <w:r w:rsidRPr="00CB4109">
        <w:rPr>
          <w:rFonts w:ascii="Arial" w:eastAsiaTheme="minorEastAsia" w:hAnsi="Arial" w:cs="Arial"/>
          <w:color w:val="000000" w:themeColor="text1"/>
          <w:lang w:val="en-US" w:eastAsia="ja-JP"/>
        </w:rPr>
        <w:t xml:space="preserve">Article 13 TEU sets out the Union’s institutions as </w:t>
      </w:r>
      <w:r w:rsidRPr="00CB4109">
        <w:rPr>
          <w:rFonts w:ascii="Arial" w:hAnsi="Arial" w:cs="Arial"/>
          <w:color w:val="000000" w:themeColor="text1"/>
        </w:rPr>
        <w:t xml:space="preserve">the European Parliament, the European Council, the Council, the European Commission, the Court of Justice of the European Union, the European Central Bank, the Court of Auditors. </w:t>
      </w:r>
      <w:r w:rsidRPr="00CB4109">
        <w:rPr>
          <w:rFonts w:ascii="Arial" w:hAnsi="Arial" w:cs="Arial"/>
        </w:rPr>
        <w:t xml:space="preserve">See </w:t>
      </w:r>
      <w:hyperlink r:id="rId15" w:history="1">
        <w:r w:rsidRPr="00CB4109">
          <w:rPr>
            <w:rStyle w:val="Hyperlink"/>
            <w:rFonts w:ascii="Arial" w:hAnsi="Arial" w:cs="Arial"/>
          </w:rPr>
          <w:t>http://europa.eu/pol/cons/index_en.htm</w:t>
        </w:r>
      </w:hyperlink>
      <w:r w:rsidRPr="00CB4109">
        <w:rPr>
          <w:rStyle w:val="Hyperlink"/>
          <w:rFonts w:ascii="Arial" w:hAnsi="Arial" w:cs="Arial"/>
        </w:rPr>
        <w:t xml:space="preserve">. </w:t>
      </w:r>
      <w:r w:rsidRPr="00CB4109">
        <w:rPr>
          <w:rFonts w:ascii="Arial" w:hAnsi="Arial" w:cs="Arial"/>
        </w:rPr>
        <w:t xml:space="preserve">See also </w:t>
      </w:r>
      <w:hyperlink r:id="rId16" w:history="1">
        <w:r w:rsidRPr="00CB4109">
          <w:rPr>
            <w:rStyle w:val="Hyperlink"/>
            <w:rFonts w:ascii="Arial" w:hAnsi="Arial" w:cs="Arial"/>
          </w:rPr>
          <w:t>http://europa.eu/about-eu/agencies/</w:t>
        </w:r>
      </w:hyperlink>
      <w:r w:rsidRPr="00CB4109">
        <w:rPr>
          <w:rStyle w:val="Hyperlink"/>
          <w:rFonts w:ascii="Arial" w:hAnsi="Arial" w:cs="Arial"/>
        </w:rPr>
        <w:t>.</w:t>
      </w:r>
    </w:p>
  </w:footnote>
  <w:footnote w:id="22">
    <w:p w14:paraId="5F678492" w14:textId="4B901E22" w:rsidR="00E71EB2" w:rsidRPr="00CB4109" w:rsidRDefault="00E71EB2" w:rsidP="0048325B">
      <w:pPr>
        <w:widowControl w:val="0"/>
        <w:autoSpaceDE w:val="0"/>
        <w:autoSpaceDN w:val="0"/>
        <w:adjustRightInd w:val="0"/>
        <w:spacing w:after="0" w:line="240" w:lineRule="auto"/>
        <w:rPr>
          <w:rFonts w:ascii="Arial" w:hAnsi="Arial" w:cs="Arial"/>
          <w:sz w:val="20"/>
          <w:szCs w:val="20"/>
          <w:lang w:val="en-US"/>
        </w:rPr>
      </w:pPr>
      <w:r w:rsidRPr="00CB4109">
        <w:rPr>
          <w:rStyle w:val="FootnoteReference"/>
          <w:rFonts w:ascii="Arial" w:hAnsi="Arial" w:cs="Arial"/>
          <w:sz w:val="20"/>
          <w:szCs w:val="20"/>
        </w:rPr>
        <w:footnoteRef/>
      </w:r>
      <w:r w:rsidRPr="00CB4109">
        <w:rPr>
          <w:rFonts w:ascii="Arial" w:hAnsi="Arial" w:cs="Arial"/>
          <w:sz w:val="20"/>
          <w:szCs w:val="20"/>
        </w:rPr>
        <w:t xml:space="preserve"> The </w:t>
      </w:r>
      <w:r w:rsidRPr="00CB4109">
        <w:rPr>
          <w:rFonts w:ascii="Arial" w:hAnsi="Arial" w:cs="Arial"/>
          <w:i/>
          <w:sz w:val="20"/>
          <w:szCs w:val="20"/>
        </w:rPr>
        <w:t>Explanations</w:t>
      </w:r>
      <w:r w:rsidRPr="00CB4109">
        <w:rPr>
          <w:rFonts w:ascii="Arial" w:hAnsi="Arial" w:cs="Arial"/>
          <w:sz w:val="20"/>
          <w:szCs w:val="20"/>
        </w:rPr>
        <w:t xml:space="preserve"> state: “</w:t>
      </w:r>
      <w:r w:rsidRPr="00CB4109">
        <w:rPr>
          <w:rFonts w:ascii="Arial" w:hAnsi="Arial" w:cs="Arial"/>
          <w:sz w:val="20"/>
          <w:szCs w:val="20"/>
          <w:lang w:val="en-US"/>
        </w:rPr>
        <w:t xml:space="preserve">As regards the Member States, it follows unambiguously from the case-law of the Court of Justice that the requirement to respect fundamental rights defined in the context of the Union is only </w:t>
      </w:r>
      <w:r w:rsidRPr="00CB4109">
        <w:rPr>
          <w:rFonts w:ascii="Arial" w:hAnsi="Arial" w:cs="Arial"/>
          <w:b/>
          <w:sz w:val="20"/>
          <w:szCs w:val="20"/>
          <w:lang w:val="en-US"/>
        </w:rPr>
        <w:t>binding on the Member States when they act in the scope of Union law</w:t>
      </w:r>
      <w:r w:rsidRPr="00CB4109">
        <w:rPr>
          <w:rFonts w:ascii="Arial" w:hAnsi="Arial" w:cs="Arial"/>
          <w:sz w:val="20"/>
          <w:szCs w:val="20"/>
          <w:lang w:val="en-US"/>
        </w:rPr>
        <w:t xml:space="preserve"> (judgment of 13 July 1989, Case 5/88 </w:t>
      </w:r>
      <w:r w:rsidRPr="00CB4109">
        <w:rPr>
          <w:rFonts w:ascii="Arial" w:hAnsi="Arial" w:cs="Arial"/>
          <w:i/>
          <w:sz w:val="20"/>
          <w:szCs w:val="20"/>
          <w:lang w:val="en-US"/>
        </w:rPr>
        <w:t xml:space="preserve">Wachauf </w:t>
      </w:r>
      <w:r w:rsidRPr="00CB4109">
        <w:rPr>
          <w:rFonts w:ascii="Arial" w:hAnsi="Arial" w:cs="Arial"/>
          <w:sz w:val="20"/>
          <w:szCs w:val="20"/>
          <w:lang w:val="en-US"/>
        </w:rPr>
        <w:t xml:space="preserve">[1989] ECR 2609; judgment of 18 June 1991, Case C-260/89 </w:t>
      </w:r>
      <w:r w:rsidRPr="00CB4109">
        <w:rPr>
          <w:rFonts w:ascii="Arial" w:hAnsi="Arial" w:cs="Arial"/>
          <w:i/>
          <w:sz w:val="20"/>
          <w:szCs w:val="20"/>
          <w:lang w:val="en-US"/>
        </w:rPr>
        <w:t>ERT</w:t>
      </w:r>
      <w:r w:rsidRPr="00CB4109">
        <w:rPr>
          <w:rFonts w:ascii="Arial" w:hAnsi="Arial" w:cs="Arial"/>
          <w:sz w:val="20"/>
          <w:szCs w:val="20"/>
          <w:lang w:val="en-US"/>
        </w:rPr>
        <w:t xml:space="preserve"> [1991] ECR I-2925; judgment of 18 December 1997, Case C-309/96 </w:t>
      </w:r>
      <w:r w:rsidRPr="00CB4109">
        <w:rPr>
          <w:rFonts w:ascii="Arial" w:hAnsi="Arial" w:cs="Arial"/>
          <w:i/>
          <w:sz w:val="20"/>
          <w:szCs w:val="20"/>
          <w:lang w:val="en-US"/>
        </w:rPr>
        <w:t>Annibaldi</w:t>
      </w:r>
      <w:r w:rsidRPr="00CB4109">
        <w:rPr>
          <w:rFonts w:ascii="Arial" w:hAnsi="Arial" w:cs="Arial"/>
          <w:sz w:val="20"/>
          <w:szCs w:val="20"/>
          <w:lang w:val="en-US"/>
        </w:rPr>
        <w:t xml:space="preserve"> [1997] ECR I-7493).”</w:t>
      </w:r>
    </w:p>
  </w:footnote>
  <w:footnote w:id="23">
    <w:p w14:paraId="525F8EF8" w14:textId="03364206" w:rsidR="00E71EB2" w:rsidRPr="00CB4109" w:rsidRDefault="00E71EB2" w:rsidP="0048325B">
      <w:pPr>
        <w:pStyle w:val="FootnoteText"/>
        <w:rPr>
          <w:rFonts w:ascii="Arial" w:hAnsi="Arial" w:cs="Arial"/>
          <w:lang w:val="en-US"/>
        </w:rPr>
      </w:pPr>
      <w:r w:rsidRPr="00CB4109">
        <w:rPr>
          <w:rStyle w:val="FootnoteReference"/>
          <w:rFonts w:ascii="Arial" w:hAnsi="Arial" w:cs="Arial"/>
        </w:rPr>
        <w:footnoteRef/>
      </w:r>
      <w:r w:rsidRPr="00CB4109">
        <w:rPr>
          <w:rFonts w:ascii="Arial" w:hAnsi="Arial" w:cs="Arial"/>
        </w:rPr>
        <w:t xml:space="preserve"> Case C-617/10 </w:t>
      </w:r>
      <w:r w:rsidRPr="00CB4109">
        <w:rPr>
          <w:rFonts w:ascii="Arial" w:eastAsia="Times New Roman" w:hAnsi="Arial" w:cs="Arial"/>
          <w:bCs/>
          <w:i/>
        </w:rPr>
        <w:t>Å</w:t>
      </w:r>
      <w:r w:rsidRPr="00CB4109">
        <w:rPr>
          <w:rFonts w:ascii="Arial" w:hAnsi="Arial" w:cs="Arial"/>
          <w:i/>
        </w:rPr>
        <w:t xml:space="preserve">klagaren v Hans </w:t>
      </w:r>
      <w:r w:rsidRPr="00CB4109">
        <w:rPr>
          <w:rFonts w:ascii="Arial" w:eastAsia="Times New Roman" w:hAnsi="Arial" w:cs="Arial"/>
          <w:bCs/>
          <w:i/>
        </w:rPr>
        <w:t>Å</w:t>
      </w:r>
      <w:r w:rsidRPr="00CB4109">
        <w:rPr>
          <w:rFonts w:ascii="Arial" w:hAnsi="Arial" w:cs="Arial"/>
          <w:i/>
        </w:rPr>
        <w:t>kerberg Fransson</w:t>
      </w:r>
      <w:r w:rsidRPr="00CB4109">
        <w:rPr>
          <w:rFonts w:ascii="Arial" w:hAnsi="Arial" w:cs="Arial"/>
        </w:rPr>
        <w:t>, 7 May 2013, para 22.</w:t>
      </w:r>
    </w:p>
  </w:footnote>
  <w:footnote w:id="24">
    <w:p w14:paraId="4E4C57F0" w14:textId="77777777" w:rsidR="00E71EB2" w:rsidRPr="00CB4109" w:rsidRDefault="00E71EB2" w:rsidP="0048325B">
      <w:pPr>
        <w:pStyle w:val="FootnoteText"/>
        <w:rPr>
          <w:rFonts w:ascii="Arial" w:hAnsi="Arial" w:cs="Arial"/>
          <w:lang w:val="en-US"/>
        </w:rPr>
      </w:pPr>
      <w:r w:rsidRPr="00CB4109">
        <w:rPr>
          <w:rStyle w:val="FootnoteReference"/>
          <w:rFonts w:ascii="Arial" w:hAnsi="Arial" w:cs="Arial"/>
        </w:rPr>
        <w:footnoteRef/>
      </w:r>
      <w:r w:rsidRPr="00CB4109">
        <w:rPr>
          <w:rFonts w:ascii="Arial" w:hAnsi="Arial" w:cs="Arial"/>
        </w:rPr>
        <w:t xml:space="preserve"> See </w:t>
      </w:r>
      <w:r w:rsidRPr="00CB4109">
        <w:rPr>
          <w:rFonts w:ascii="Arial" w:hAnsi="Arial" w:cs="Arial"/>
          <w:color w:val="000000"/>
        </w:rPr>
        <w:t>Dr Suzanne Kingston and Dr Liam Thornton (2015) </w:t>
      </w:r>
      <w:r w:rsidRPr="00CB4109">
        <w:rPr>
          <w:rFonts w:ascii="Arial" w:hAnsi="Arial" w:cs="Arial"/>
          <w:i/>
          <w:iCs/>
          <w:color w:val="000000"/>
        </w:rPr>
        <w:t xml:space="preserve">A Report on the Application of the European Convention on Human Rights Act 2003 and the European Charter of Fundamental Rights: Evaluation and Review. </w:t>
      </w:r>
      <w:r w:rsidRPr="00CB4109">
        <w:rPr>
          <w:rFonts w:ascii="Arial" w:hAnsi="Arial" w:cs="Arial"/>
          <w:color w:val="000000"/>
        </w:rPr>
        <w:t>Law Society of Ireland/Dublin Solicitors Bar Association.) (pp. 110-112).</w:t>
      </w:r>
    </w:p>
  </w:footnote>
  <w:footnote w:id="25">
    <w:p w14:paraId="353BA164" w14:textId="77777777" w:rsidR="00E71EB2" w:rsidRPr="00CB4109" w:rsidRDefault="00E71EB2" w:rsidP="0048325B">
      <w:pPr>
        <w:pStyle w:val="Footer"/>
        <w:rPr>
          <w:rFonts w:ascii="Arial" w:hAnsi="Arial" w:cs="Arial"/>
          <w:sz w:val="20"/>
          <w:szCs w:val="20"/>
        </w:rPr>
      </w:pPr>
      <w:r w:rsidRPr="00CB4109">
        <w:rPr>
          <w:rStyle w:val="FootnoteReference"/>
          <w:rFonts w:ascii="Arial" w:hAnsi="Arial" w:cs="Arial"/>
          <w:sz w:val="20"/>
          <w:szCs w:val="20"/>
        </w:rPr>
        <w:footnoteRef/>
      </w:r>
      <w:r w:rsidRPr="00CB4109">
        <w:rPr>
          <w:rFonts w:ascii="Arial" w:hAnsi="Arial" w:cs="Arial"/>
          <w:sz w:val="20"/>
          <w:szCs w:val="20"/>
        </w:rPr>
        <w:t xml:space="preserve"> Case 14/83 </w:t>
      </w:r>
      <w:r w:rsidRPr="00CB4109">
        <w:rPr>
          <w:rFonts w:ascii="Arial" w:hAnsi="Arial" w:cs="Arial"/>
          <w:i/>
          <w:sz w:val="20"/>
          <w:szCs w:val="20"/>
        </w:rPr>
        <w:t xml:space="preserve">Von Colson and Kamann v Land Nordrhein-Westfalen </w:t>
      </w:r>
      <w:r w:rsidRPr="00CB4109">
        <w:rPr>
          <w:rFonts w:ascii="Arial" w:hAnsi="Arial" w:cs="Arial"/>
          <w:sz w:val="20"/>
          <w:szCs w:val="20"/>
        </w:rPr>
        <w:t>[1984] ECR 1891.</w:t>
      </w:r>
    </w:p>
  </w:footnote>
  <w:footnote w:id="26">
    <w:p w14:paraId="4BAB4455" w14:textId="1DDE9467" w:rsidR="00E71EB2" w:rsidRPr="00CB4109" w:rsidRDefault="00E71EB2" w:rsidP="0048325B">
      <w:pPr>
        <w:pStyle w:val="FootnoteText"/>
        <w:rPr>
          <w:rFonts w:ascii="Arial" w:hAnsi="Arial" w:cs="Arial"/>
        </w:rPr>
      </w:pPr>
      <w:r w:rsidRPr="00CB4109">
        <w:rPr>
          <w:rStyle w:val="FootnoteReference"/>
          <w:rFonts w:ascii="Arial" w:hAnsi="Arial" w:cs="Arial"/>
        </w:rPr>
        <w:footnoteRef/>
      </w:r>
      <w:r w:rsidRPr="00CB4109">
        <w:rPr>
          <w:rFonts w:ascii="Arial" w:hAnsi="Arial" w:cs="Arial"/>
        </w:rPr>
        <w:t xml:space="preserve"> Schütz, R, (2nd edn.)(2015) </w:t>
      </w:r>
      <w:r w:rsidRPr="00CB4109">
        <w:rPr>
          <w:rFonts w:ascii="Arial" w:hAnsi="Arial" w:cs="Arial"/>
          <w:i/>
        </w:rPr>
        <w:t>An Introduction to European Law</w:t>
      </w:r>
      <w:r w:rsidRPr="00CB4109">
        <w:rPr>
          <w:rFonts w:ascii="Arial" w:hAnsi="Arial" w:cs="Arial"/>
        </w:rPr>
        <w:t xml:space="preserve"> (Cambridge University Press), p. 137.</w:t>
      </w:r>
    </w:p>
  </w:footnote>
  <w:footnote w:id="27">
    <w:p w14:paraId="046943E7" w14:textId="77777777" w:rsidR="00E71EB2" w:rsidRPr="00CB4109" w:rsidRDefault="00E71EB2" w:rsidP="0048325B">
      <w:pPr>
        <w:spacing w:after="0" w:line="240" w:lineRule="auto"/>
        <w:rPr>
          <w:rFonts w:ascii="Arial" w:hAnsi="Arial" w:cs="Arial"/>
          <w:sz w:val="20"/>
          <w:szCs w:val="20"/>
        </w:rPr>
      </w:pPr>
      <w:r w:rsidRPr="00CB4109">
        <w:rPr>
          <w:rStyle w:val="FootnoteReference"/>
          <w:rFonts w:ascii="Arial" w:hAnsi="Arial" w:cs="Arial"/>
          <w:sz w:val="20"/>
          <w:szCs w:val="20"/>
        </w:rPr>
        <w:footnoteRef/>
      </w:r>
      <w:r w:rsidRPr="00CB4109">
        <w:rPr>
          <w:rFonts w:ascii="Arial" w:hAnsi="Arial" w:cs="Arial"/>
          <w:sz w:val="20"/>
          <w:szCs w:val="20"/>
        </w:rPr>
        <w:t xml:space="preserve"> </w:t>
      </w:r>
      <w:r w:rsidRPr="00CB4109">
        <w:rPr>
          <w:rFonts w:ascii="Arial" w:eastAsia="Times New Roman" w:hAnsi="Arial" w:cs="Arial"/>
          <w:sz w:val="20"/>
          <w:szCs w:val="20"/>
        </w:rPr>
        <w:t xml:space="preserve">Case C-479/93 </w:t>
      </w:r>
      <w:r w:rsidRPr="00CB4109">
        <w:rPr>
          <w:rFonts w:ascii="Arial" w:eastAsia="Times New Roman" w:hAnsi="Arial" w:cs="Arial"/>
          <w:i/>
          <w:sz w:val="20"/>
          <w:szCs w:val="20"/>
        </w:rPr>
        <w:t>Francovich</w:t>
      </w:r>
      <w:r w:rsidRPr="00CB4109">
        <w:rPr>
          <w:rFonts w:ascii="Arial" w:eastAsia="Times New Roman" w:hAnsi="Arial" w:cs="Arial"/>
          <w:sz w:val="20"/>
          <w:szCs w:val="20"/>
        </w:rPr>
        <w:t xml:space="preserve"> [1995] ECR I-3843.</w:t>
      </w:r>
    </w:p>
  </w:footnote>
  <w:footnote w:id="28">
    <w:p w14:paraId="555EB249" w14:textId="73A22EF2" w:rsidR="00E71EB2" w:rsidRPr="00CB4109" w:rsidRDefault="00E71EB2" w:rsidP="0048325B">
      <w:pPr>
        <w:pStyle w:val="Footer"/>
        <w:rPr>
          <w:rFonts w:ascii="Arial" w:hAnsi="Arial" w:cs="Arial"/>
          <w:color w:val="FF0000"/>
          <w:sz w:val="20"/>
          <w:szCs w:val="20"/>
        </w:rPr>
      </w:pPr>
      <w:r w:rsidRPr="00CB4109">
        <w:rPr>
          <w:rStyle w:val="FootnoteReference"/>
          <w:rFonts w:ascii="Arial" w:hAnsi="Arial" w:cs="Arial"/>
          <w:sz w:val="20"/>
          <w:szCs w:val="20"/>
        </w:rPr>
        <w:footnoteRef/>
      </w:r>
      <w:r w:rsidRPr="00CB4109">
        <w:rPr>
          <w:rFonts w:ascii="Arial" w:hAnsi="Arial" w:cs="Arial"/>
          <w:sz w:val="20"/>
          <w:szCs w:val="20"/>
        </w:rPr>
        <w:t xml:space="preserve"> Article 52(1); </w:t>
      </w:r>
      <w:r w:rsidRPr="00CB4109">
        <w:rPr>
          <w:rFonts w:ascii="Arial" w:hAnsi="Arial" w:cs="Arial"/>
          <w:i/>
          <w:sz w:val="20"/>
          <w:szCs w:val="20"/>
        </w:rPr>
        <w:t>Explanations Relating to the Charter of Fundamental Rights,</w:t>
      </w:r>
      <w:r w:rsidRPr="00CB4109">
        <w:rPr>
          <w:rFonts w:ascii="Arial" w:hAnsi="Arial" w:cs="Arial"/>
          <w:sz w:val="20"/>
          <w:szCs w:val="20"/>
        </w:rPr>
        <w:t xml:space="preserve"> Article 52; Case C-292/97 </w:t>
      </w:r>
      <w:r w:rsidRPr="00CB4109">
        <w:rPr>
          <w:rFonts w:ascii="Arial" w:hAnsi="Arial" w:cs="Arial"/>
          <w:i/>
          <w:sz w:val="20"/>
          <w:szCs w:val="20"/>
        </w:rPr>
        <w:t xml:space="preserve">Kjell Karlsson and Others </w:t>
      </w:r>
      <w:r w:rsidRPr="00CB4109">
        <w:rPr>
          <w:rFonts w:ascii="Arial" w:hAnsi="Arial" w:cs="Arial"/>
          <w:sz w:val="20"/>
          <w:szCs w:val="20"/>
        </w:rPr>
        <w:t>[2000], para. 45.</w:t>
      </w:r>
    </w:p>
  </w:footnote>
  <w:footnote w:id="29">
    <w:p w14:paraId="2CEA6B4B" w14:textId="77777777" w:rsidR="00E71EB2" w:rsidRPr="00CB4109" w:rsidRDefault="00E71EB2" w:rsidP="0048325B">
      <w:pPr>
        <w:pStyle w:val="FootnoteText"/>
        <w:rPr>
          <w:rFonts w:ascii="Arial" w:hAnsi="Arial" w:cs="Arial"/>
        </w:rPr>
      </w:pPr>
      <w:r w:rsidRPr="00CB4109">
        <w:rPr>
          <w:rStyle w:val="FootnoteReference"/>
          <w:rFonts w:ascii="Arial" w:hAnsi="Arial" w:cs="Arial"/>
        </w:rPr>
        <w:footnoteRef/>
      </w:r>
      <w:r w:rsidRPr="00CB4109">
        <w:rPr>
          <w:rFonts w:ascii="Arial" w:hAnsi="Arial" w:cs="Arial"/>
        </w:rPr>
        <w:t xml:space="preserve"> </w:t>
      </w:r>
      <w:r w:rsidRPr="00CB4109">
        <w:rPr>
          <w:rFonts w:ascii="Arial" w:eastAsia="Times New Roman" w:hAnsi="Arial" w:cs="Arial"/>
        </w:rPr>
        <w:t>“</w:t>
      </w:r>
      <w:r w:rsidRPr="00CB4109">
        <w:rPr>
          <w:rFonts w:ascii="Arial" w:hAnsi="Arial" w:cs="Arial"/>
        </w:rPr>
        <w:t>Nothing in this Charter shall be interpreted as restricting or adversely affecting human rights and fundamental freedoms as recognised, in their respective fields of application, by Union law and international law and by international agreements to which the Union or all the Member States are party, including the European Convention for the Protection of Human Rights and Fundamental Freedoms, and by the Member States' constitutions.”</w:t>
      </w:r>
    </w:p>
  </w:footnote>
  <w:footnote w:id="30">
    <w:p w14:paraId="796013D5" w14:textId="36A1769D" w:rsidR="00E71EB2" w:rsidRPr="00CB4109" w:rsidRDefault="00E71EB2" w:rsidP="0048325B">
      <w:pPr>
        <w:pStyle w:val="FootnoteText"/>
        <w:rPr>
          <w:rFonts w:ascii="Arial" w:hAnsi="Arial" w:cs="Arial"/>
          <w:lang w:val="en-US"/>
        </w:rPr>
      </w:pPr>
      <w:r w:rsidRPr="00CB4109">
        <w:rPr>
          <w:rStyle w:val="FootnoteReference"/>
          <w:rFonts w:ascii="Arial" w:hAnsi="Arial" w:cs="Arial"/>
        </w:rPr>
        <w:footnoteRef/>
      </w:r>
      <w:r w:rsidRPr="00CB4109">
        <w:rPr>
          <w:rFonts w:ascii="Arial" w:hAnsi="Arial" w:cs="Arial"/>
        </w:rPr>
        <w:t xml:space="preserve"> See </w:t>
      </w:r>
      <w:r w:rsidRPr="00CB4109">
        <w:rPr>
          <w:rFonts w:ascii="Arial" w:hAnsi="Arial" w:cs="Arial"/>
          <w:i/>
          <w:lang w:val="en-US"/>
        </w:rPr>
        <w:t xml:space="preserve">European Judicial Cooperation and Fundamental Rights: Practical Guidelines, </w:t>
      </w:r>
      <w:r w:rsidRPr="00CB4109">
        <w:rPr>
          <w:rFonts w:ascii="Arial" w:hAnsi="Arial" w:cs="Arial"/>
          <w:lang w:val="en-US"/>
        </w:rPr>
        <w:t>pp. 6-16.</w:t>
      </w:r>
    </w:p>
  </w:footnote>
  <w:footnote w:id="31">
    <w:p w14:paraId="4408ADB9" w14:textId="54AB0DB4" w:rsidR="00E71EB2" w:rsidRPr="00CB4109" w:rsidRDefault="00E71EB2" w:rsidP="0048325B">
      <w:pPr>
        <w:pStyle w:val="FootnoteText"/>
        <w:rPr>
          <w:rFonts w:ascii="Arial" w:hAnsi="Arial" w:cs="Arial"/>
          <w:lang w:val="en-US"/>
        </w:rPr>
      </w:pPr>
      <w:r w:rsidRPr="00CB4109">
        <w:rPr>
          <w:rStyle w:val="FootnoteReference"/>
          <w:rFonts w:ascii="Arial" w:hAnsi="Arial" w:cs="Arial"/>
        </w:rPr>
        <w:footnoteRef/>
      </w:r>
      <w:r w:rsidRPr="00CB4109">
        <w:rPr>
          <w:rFonts w:ascii="Arial" w:hAnsi="Arial" w:cs="Arial"/>
        </w:rPr>
        <w:t xml:space="preserve"> </w:t>
      </w:r>
      <w:r w:rsidRPr="00CB4109">
        <w:rPr>
          <w:rFonts w:ascii="Arial" w:hAnsi="Arial" w:cs="Arial"/>
          <w:i/>
        </w:rPr>
        <w:t>Ibid.</w:t>
      </w:r>
    </w:p>
  </w:footnote>
  <w:footnote w:id="32">
    <w:p w14:paraId="402489C6" w14:textId="03A390D5" w:rsidR="00E71EB2" w:rsidRPr="00CB4109" w:rsidRDefault="00E71EB2" w:rsidP="0048325B">
      <w:pPr>
        <w:pStyle w:val="Heading1"/>
        <w:spacing w:before="0" w:line="240" w:lineRule="auto"/>
        <w:rPr>
          <w:rFonts w:ascii="Arial" w:hAnsi="Arial" w:cs="Arial"/>
          <w:b w:val="0"/>
          <w:sz w:val="20"/>
          <w:szCs w:val="20"/>
          <w:lang w:val="en-US"/>
        </w:rPr>
      </w:pPr>
      <w:r w:rsidRPr="00CB4109">
        <w:rPr>
          <w:rStyle w:val="FootnoteReference"/>
          <w:rFonts w:ascii="Arial" w:hAnsi="Arial" w:cs="Arial"/>
          <w:b w:val="0"/>
          <w:color w:val="000000" w:themeColor="text1"/>
          <w:sz w:val="20"/>
          <w:szCs w:val="20"/>
        </w:rPr>
        <w:footnoteRef/>
      </w:r>
      <w:r w:rsidRPr="00CB4109">
        <w:rPr>
          <w:rFonts w:ascii="Arial" w:hAnsi="Arial" w:cs="Arial"/>
          <w:b w:val="0"/>
          <w:sz w:val="20"/>
          <w:szCs w:val="20"/>
        </w:rPr>
        <w:t xml:space="preserve"> </w:t>
      </w:r>
      <w:r w:rsidRPr="00CB4109">
        <w:rPr>
          <w:rFonts w:ascii="Arial" w:eastAsia="Times New Roman" w:hAnsi="Arial" w:cs="Arial"/>
          <w:b w:val="0"/>
          <w:bCs w:val="0"/>
          <w:color w:val="000000" w:themeColor="text1"/>
          <w:sz w:val="20"/>
          <w:szCs w:val="20"/>
        </w:rPr>
        <w:t xml:space="preserve">C-411/10 and C-493/10, Joined cases of </w:t>
      </w:r>
      <w:r w:rsidRPr="00CB4109">
        <w:rPr>
          <w:rFonts w:ascii="Arial" w:eastAsia="Times New Roman" w:hAnsi="Arial" w:cs="Arial"/>
          <w:b w:val="0"/>
          <w:bCs w:val="0"/>
          <w:i/>
          <w:color w:val="000000" w:themeColor="text1"/>
          <w:sz w:val="20"/>
          <w:szCs w:val="20"/>
        </w:rPr>
        <w:t>N.S. v United Kingdom</w:t>
      </w:r>
      <w:r w:rsidRPr="00CB4109">
        <w:rPr>
          <w:rFonts w:ascii="Arial" w:eastAsia="Times New Roman" w:hAnsi="Arial" w:cs="Arial"/>
          <w:b w:val="0"/>
          <w:bCs w:val="0"/>
          <w:color w:val="000000" w:themeColor="text1"/>
          <w:sz w:val="20"/>
          <w:szCs w:val="20"/>
        </w:rPr>
        <w:t xml:space="preserve"> and </w:t>
      </w:r>
      <w:r w:rsidRPr="00CB4109">
        <w:rPr>
          <w:rFonts w:ascii="Arial" w:eastAsia="Times New Roman" w:hAnsi="Arial" w:cs="Arial"/>
          <w:b w:val="0"/>
          <w:bCs w:val="0"/>
          <w:i/>
          <w:color w:val="000000" w:themeColor="text1"/>
          <w:sz w:val="20"/>
          <w:szCs w:val="20"/>
        </w:rPr>
        <w:t>M.E. v Ireland</w:t>
      </w:r>
      <w:r w:rsidRPr="00CB4109">
        <w:rPr>
          <w:rFonts w:ascii="Arial" w:eastAsia="Times New Roman" w:hAnsi="Arial" w:cs="Arial"/>
          <w:b w:val="0"/>
          <w:bCs w:val="0"/>
          <w:color w:val="000000" w:themeColor="text1"/>
          <w:sz w:val="20"/>
          <w:szCs w:val="20"/>
        </w:rPr>
        <w:t>.</w:t>
      </w:r>
    </w:p>
  </w:footnote>
  <w:footnote w:id="33">
    <w:p w14:paraId="4A95F73B" w14:textId="44846DFA" w:rsidR="00E71EB2" w:rsidRPr="00CB4109" w:rsidRDefault="00E71EB2" w:rsidP="0048325B">
      <w:pPr>
        <w:pStyle w:val="c02alineaalta"/>
        <w:spacing w:before="0" w:beforeAutospacing="0" w:after="0" w:afterAutospacing="0"/>
        <w:rPr>
          <w:rFonts w:ascii="Arial" w:hAnsi="Arial" w:cs="Arial"/>
          <w:lang w:val="en-US"/>
        </w:rPr>
      </w:pPr>
      <w:r w:rsidRPr="00CB4109">
        <w:rPr>
          <w:rStyle w:val="FootnoteReference"/>
          <w:rFonts w:ascii="Arial" w:hAnsi="Arial" w:cs="Arial"/>
        </w:rPr>
        <w:footnoteRef/>
      </w:r>
      <w:r w:rsidRPr="00CB4109">
        <w:rPr>
          <w:rFonts w:ascii="Arial" w:hAnsi="Arial" w:cs="Arial"/>
        </w:rPr>
        <w:t xml:space="preserve"> Case C</w:t>
      </w:r>
      <w:r w:rsidRPr="00CB4109">
        <w:rPr>
          <w:rFonts w:ascii="Arial" w:hAnsi="Arial" w:cs="Arial"/>
        </w:rPr>
        <w:noBreakHyphen/>
        <w:t>279/09</w:t>
      </w:r>
      <w:r w:rsidRPr="00CB4109">
        <w:rPr>
          <w:rFonts w:ascii="Arial" w:hAnsi="Arial" w:cs="Arial"/>
          <w:i/>
        </w:rPr>
        <w:t xml:space="preserve"> DEB.</w:t>
      </w:r>
    </w:p>
  </w:footnote>
  <w:footnote w:id="34">
    <w:p w14:paraId="61FF77EF" w14:textId="730B8350" w:rsidR="00E71EB2" w:rsidRPr="00CB4109" w:rsidRDefault="00E71EB2" w:rsidP="0048325B">
      <w:pPr>
        <w:pStyle w:val="FootnoteText"/>
        <w:rPr>
          <w:rFonts w:ascii="Arial" w:hAnsi="Arial" w:cs="Arial"/>
          <w:lang w:val="en-US"/>
        </w:rPr>
      </w:pPr>
      <w:r w:rsidRPr="00CB4109">
        <w:rPr>
          <w:rStyle w:val="FootnoteReference"/>
          <w:rFonts w:ascii="Arial" w:hAnsi="Arial" w:cs="Arial"/>
        </w:rPr>
        <w:footnoteRef/>
      </w:r>
      <w:r w:rsidRPr="00CB4109">
        <w:rPr>
          <w:rFonts w:ascii="Arial" w:hAnsi="Arial" w:cs="Arial"/>
        </w:rPr>
        <w:t xml:space="preserve"> Case C-617/10 </w:t>
      </w:r>
      <w:r w:rsidRPr="00CB4109">
        <w:rPr>
          <w:rFonts w:ascii="Arial" w:eastAsia="Times New Roman" w:hAnsi="Arial" w:cs="Arial"/>
          <w:bCs/>
          <w:i/>
        </w:rPr>
        <w:t>Å</w:t>
      </w:r>
      <w:r w:rsidRPr="00CB4109">
        <w:rPr>
          <w:rFonts w:ascii="Arial" w:hAnsi="Arial" w:cs="Arial"/>
          <w:i/>
        </w:rPr>
        <w:t xml:space="preserve">klagaren v Hans </w:t>
      </w:r>
      <w:r w:rsidRPr="00CB4109">
        <w:rPr>
          <w:rFonts w:ascii="Arial" w:eastAsia="Times New Roman" w:hAnsi="Arial" w:cs="Arial"/>
          <w:bCs/>
          <w:i/>
        </w:rPr>
        <w:t>Å</w:t>
      </w:r>
      <w:r w:rsidRPr="00CB4109">
        <w:rPr>
          <w:rFonts w:ascii="Arial" w:hAnsi="Arial" w:cs="Arial"/>
          <w:i/>
        </w:rPr>
        <w:t>kerberg Fransson.</w:t>
      </w:r>
    </w:p>
  </w:footnote>
  <w:footnote w:id="35">
    <w:p w14:paraId="1D02CEE2" w14:textId="16B99522" w:rsidR="00E71EB2" w:rsidRPr="00CB4109" w:rsidRDefault="00E71EB2" w:rsidP="0048325B">
      <w:pPr>
        <w:pStyle w:val="FootnoteText"/>
        <w:rPr>
          <w:rFonts w:ascii="Arial" w:hAnsi="Arial" w:cs="Arial"/>
          <w:lang w:val="en-US"/>
        </w:rPr>
      </w:pPr>
      <w:r w:rsidRPr="00CB4109">
        <w:rPr>
          <w:rStyle w:val="FootnoteReference"/>
          <w:rFonts w:ascii="Arial" w:hAnsi="Arial" w:cs="Arial"/>
        </w:rPr>
        <w:footnoteRef/>
      </w:r>
      <w:r w:rsidRPr="00CB4109">
        <w:rPr>
          <w:rFonts w:ascii="Arial" w:hAnsi="Arial" w:cs="Arial"/>
        </w:rPr>
        <w:t xml:space="preserve"> See </w:t>
      </w:r>
      <w:r w:rsidRPr="00CB4109">
        <w:rPr>
          <w:rFonts w:ascii="Arial" w:hAnsi="Arial" w:cs="Arial"/>
          <w:color w:val="000000"/>
        </w:rPr>
        <w:t xml:space="preserve">Case C-415/11 </w:t>
      </w:r>
      <w:r w:rsidRPr="00CB4109">
        <w:rPr>
          <w:rFonts w:ascii="Arial" w:hAnsi="Arial" w:cs="Arial"/>
          <w:i/>
          <w:color w:val="000000"/>
        </w:rPr>
        <w:t>Aziz v Caixa d´Estalvis de Catalunya</w:t>
      </w:r>
      <w:r w:rsidRPr="00CB4109">
        <w:rPr>
          <w:rFonts w:ascii="Arial" w:hAnsi="Arial" w:cs="Arial"/>
          <w:lang w:val="en-US"/>
        </w:rPr>
        <w:t>, para 53.</w:t>
      </w:r>
    </w:p>
  </w:footnote>
  <w:footnote w:id="36">
    <w:p w14:paraId="08D5E0F1" w14:textId="77777777" w:rsidR="00E71EB2" w:rsidRPr="00CB4109" w:rsidRDefault="00E71EB2" w:rsidP="0048325B">
      <w:pPr>
        <w:pStyle w:val="FootnoteText"/>
        <w:rPr>
          <w:rFonts w:ascii="Arial" w:hAnsi="Arial" w:cs="Arial"/>
          <w:lang w:val="en-US"/>
        </w:rPr>
      </w:pPr>
      <w:r w:rsidRPr="00CB4109">
        <w:rPr>
          <w:rStyle w:val="FootnoteReference"/>
          <w:rFonts w:ascii="Arial" w:hAnsi="Arial" w:cs="Arial"/>
        </w:rPr>
        <w:footnoteRef/>
      </w:r>
      <w:r w:rsidRPr="00CB4109">
        <w:rPr>
          <w:rFonts w:ascii="Arial" w:hAnsi="Arial" w:cs="Arial"/>
        </w:rPr>
        <w:t xml:space="preserve"> Case C-260/89, </w:t>
      </w:r>
      <w:r w:rsidRPr="00CB4109">
        <w:rPr>
          <w:rFonts w:ascii="Arial" w:hAnsi="Arial" w:cs="Arial"/>
          <w:i/>
        </w:rPr>
        <w:t>Elliniki Radiophonia Tileorassi AE (ERT) v Dimotiki Etairia Pliroforissis and Siotirios Kouvelas</w:t>
      </w:r>
      <w:r w:rsidRPr="00CB4109">
        <w:rPr>
          <w:rFonts w:ascii="Arial" w:hAnsi="Arial" w:cs="Arial"/>
        </w:rPr>
        <w:t xml:space="preserve">, [1991] ECR I-2925. See Barceló III, John J., "ECJ Review of Member State Measures for Compliance with Fundamental Rights" (2009). Cornell Law Faculty Working Papers. Paper 93. See also Villalón, </w:t>
      </w:r>
      <w:r w:rsidRPr="00CB4109">
        <w:rPr>
          <w:rFonts w:ascii="Arial" w:hAnsi="Arial" w:cs="Arial"/>
          <w:i/>
        </w:rPr>
        <w:t>All the Guidance,’ ERT and Wachauf, in Maduro and Azoulai, The Past and Future of EU Law: The Classics of EU Law Revisited,</w:t>
      </w:r>
      <w:r w:rsidRPr="00CB4109">
        <w:rPr>
          <w:rFonts w:ascii="Arial" w:hAnsi="Arial" w:cs="Arial"/>
        </w:rPr>
        <w:t xml:space="preserve"> (Oxford: Hart Publishing 2010), 162 at 166 at </w:t>
      </w:r>
      <w:hyperlink r:id="rId17" w:history="1">
        <w:r w:rsidRPr="00CB4109">
          <w:rPr>
            <w:rStyle w:val="Hyperlink"/>
            <w:rFonts w:ascii="Arial" w:hAnsi="Arial" w:cs="Arial"/>
          </w:rPr>
          <w:t>http://scholarship.law.cornell.edu/clsops_papers/93</w:t>
        </w:r>
      </w:hyperlink>
      <w:r w:rsidRPr="00CB4109">
        <w:rPr>
          <w:rFonts w:ascii="Arial" w:hAnsi="Arial" w:cs="Arial"/>
        </w:rPr>
        <w:t xml:space="preserve">. </w:t>
      </w:r>
    </w:p>
  </w:footnote>
  <w:footnote w:id="37">
    <w:p w14:paraId="10232604" w14:textId="1205DE8B" w:rsidR="00E71EB2" w:rsidRPr="00CB4109" w:rsidRDefault="00E71EB2" w:rsidP="0048325B">
      <w:pPr>
        <w:pStyle w:val="FootnoteText"/>
        <w:rPr>
          <w:rFonts w:ascii="Arial" w:hAnsi="Arial" w:cs="Arial"/>
        </w:rPr>
      </w:pPr>
      <w:r w:rsidRPr="00CB4109">
        <w:rPr>
          <w:rStyle w:val="FootnoteReference"/>
          <w:rFonts w:ascii="Arial" w:hAnsi="Arial" w:cs="Arial"/>
        </w:rPr>
        <w:footnoteRef/>
      </w:r>
      <w:r w:rsidRPr="00CB4109">
        <w:rPr>
          <w:rFonts w:ascii="Arial" w:hAnsi="Arial" w:cs="Arial"/>
        </w:rPr>
        <w:t xml:space="preserve"> Case C-260/89 </w:t>
      </w:r>
      <w:r w:rsidRPr="00CB4109">
        <w:rPr>
          <w:rFonts w:ascii="Arial" w:hAnsi="Arial" w:cs="Arial"/>
          <w:i/>
        </w:rPr>
        <w:t>ERT.</w:t>
      </w:r>
      <w:r w:rsidRPr="00CB4109">
        <w:rPr>
          <w:rFonts w:ascii="Arial" w:hAnsi="Arial" w:cs="Arial"/>
        </w:rPr>
        <w:t xml:space="preserve"> </w:t>
      </w:r>
    </w:p>
  </w:footnote>
  <w:footnote w:id="38">
    <w:p w14:paraId="5457B42D" w14:textId="3D33BCC2" w:rsidR="00E71EB2" w:rsidRPr="00CB4109" w:rsidRDefault="00E71EB2" w:rsidP="0048325B">
      <w:pPr>
        <w:pStyle w:val="FootnoteText"/>
        <w:rPr>
          <w:rFonts w:ascii="Arial" w:hAnsi="Arial" w:cs="Arial"/>
          <w:lang w:val="en-US"/>
        </w:rPr>
      </w:pPr>
      <w:r w:rsidRPr="00CB4109">
        <w:rPr>
          <w:rStyle w:val="FootnoteReference"/>
          <w:rFonts w:ascii="Arial" w:hAnsi="Arial" w:cs="Arial"/>
        </w:rPr>
        <w:footnoteRef/>
      </w:r>
      <w:r w:rsidRPr="00CB4109">
        <w:rPr>
          <w:rFonts w:ascii="Arial" w:hAnsi="Arial" w:cs="Arial"/>
        </w:rPr>
        <w:t xml:space="preserve"> See </w:t>
      </w:r>
      <w:r w:rsidRPr="00CB4109">
        <w:rPr>
          <w:rFonts w:ascii="Arial" w:hAnsi="Arial" w:cs="Arial"/>
          <w:i/>
          <w:lang w:val="en-US"/>
        </w:rPr>
        <w:t xml:space="preserve">European Judicial Cooperation and Fundamental Rights: Practical Guidelines, </w:t>
      </w:r>
      <w:r w:rsidRPr="00CB4109">
        <w:rPr>
          <w:rFonts w:ascii="Arial" w:hAnsi="Arial" w:cs="Arial"/>
          <w:lang w:val="en-US"/>
        </w:rPr>
        <w:t>pp. 14-16.</w:t>
      </w:r>
    </w:p>
  </w:footnote>
  <w:footnote w:id="39">
    <w:p w14:paraId="50F89E3C" w14:textId="77777777" w:rsidR="00E71EB2" w:rsidRPr="00CB4109" w:rsidRDefault="00E71EB2" w:rsidP="0048325B">
      <w:pPr>
        <w:pStyle w:val="FootnoteText"/>
        <w:rPr>
          <w:rFonts w:ascii="Arial" w:hAnsi="Arial" w:cs="Arial"/>
        </w:rPr>
      </w:pPr>
      <w:r w:rsidRPr="00CB4109">
        <w:rPr>
          <w:rStyle w:val="FootnoteReference"/>
          <w:rFonts w:ascii="Arial" w:hAnsi="Arial" w:cs="Arial"/>
        </w:rPr>
        <w:footnoteRef/>
      </w:r>
      <w:r w:rsidRPr="00CB4109">
        <w:rPr>
          <w:rFonts w:ascii="Arial" w:hAnsi="Arial" w:cs="Arial"/>
        </w:rPr>
        <w:t xml:space="preserve"> See Case C-617/10 </w:t>
      </w:r>
      <w:r w:rsidRPr="00CB4109">
        <w:rPr>
          <w:rFonts w:ascii="Arial" w:eastAsia="Times New Roman" w:hAnsi="Arial" w:cs="Arial"/>
          <w:bCs/>
          <w:i/>
        </w:rPr>
        <w:t>Å</w:t>
      </w:r>
      <w:r w:rsidRPr="00CB4109">
        <w:rPr>
          <w:rFonts w:ascii="Arial" w:hAnsi="Arial" w:cs="Arial"/>
          <w:i/>
        </w:rPr>
        <w:t xml:space="preserve">klagaren v Hans </w:t>
      </w:r>
      <w:r w:rsidRPr="00CB4109">
        <w:rPr>
          <w:rFonts w:ascii="Arial" w:eastAsia="Times New Roman" w:hAnsi="Arial" w:cs="Arial"/>
          <w:bCs/>
          <w:i/>
        </w:rPr>
        <w:t>Å</w:t>
      </w:r>
      <w:r w:rsidRPr="00CB4109">
        <w:rPr>
          <w:rFonts w:ascii="Arial" w:hAnsi="Arial" w:cs="Arial"/>
          <w:i/>
        </w:rPr>
        <w:t>kerberg Fransson</w:t>
      </w:r>
      <w:r w:rsidRPr="00CB4109">
        <w:rPr>
          <w:rFonts w:ascii="Arial" w:hAnsi="Arial" w:cs="Arial"/>
        </w:rPr>
        <w:t xml:space="preserve">, 7 May 2013 where the CJEU equated ‘implementation’ of EU law with ‘falling within the scope of’ EU law. For a detailed examination of this point, and reaching the conclusion that simply wherever there is an EU law issue then the Charter is applicable  – see Fontanelli, F. ‘National Measures and the Application of the EU Charter of Fundamental Rights – Does </w:t>
      </w:r>
      <w:r w:rsidRPr="00CB4109">
        <w:rPr>
          <w:rFonts w:ascii="Arial" w:hAnsi="Arial" w:cs="Arial"/>
          <w:i/>
        </w:rPr>
        <w:t>curia.</w:t>
      </w:r>
      <w:r w:rsidRPr="00CB4109">
        <w:rPr>
          <w:rFonts w:ascii="Arial" w:hAnsi="Arial" w:cs="Arial"/>
        </w:rPr>
        <w:t xml:space="preserve">eu Know </w:t>
      </w:r>
      <w:r w:rsidRPr="00CB4109">
        <w:rPr>
          <w:rFonts w:ascii="Arial" w:hAnsi="Arial" w:cs="Arial"/>
          <w:i/>
        </w:rPr>
        <w:t>iura</w:t>
      </w:r>
      <w:r w:rsidRPr="00CB4109">
        <w:rPr>
          <w:rFonts w:ascii="Arial" w:hAnsi="Arial" w:cs="Arial"/>
        </w:rPr>
        <w:t xml:space="preserve">.eu’ </w:t>
      </w:r>
      <w:r w:rsidRPr="00CB4109">
        <w:rPr>
          <w:rFonts w:ascii="Arial" w:hAnsi="Arial" w:cs="Arial"/>
          <w:i/>
        </w:rPr>
        <w:t>Human Rights Law Review</w:t>
      </w:r>
      <w:r w:rsidRPr="00CB4109">
        <w:rPr>
          <w:rFonts w:ascii="Arial" w:hAnsi="Arial" w:cs="Arial"/>
        </w:rPr>
        <w:t xml:space="preserve">, 2014, 14, 231-265. </w:t>
      </w:r>
    </w:p>
  </w:footnote>
  <w:footnote w:id="40">
    <w:p w14:paraId="5CD6A3ED" w14:textId="77777777" w:rsidR="00E71EB2" w:rsidRPr="00CB4109" w:rsidRDefault="00E71EB2" w:rsidP="0048325B">
      <w:pPr>
        <w:pStyle w:val="FootnoteText"/>
        <w:rPr>
          <w:rFonts w:ascii="Arial" w:hAnsi="Arial" w:cs="Arial"/>
          <w:lang w:val="en-US"/>
        </w:rPr>
      </w:pPr>
      <w:r w:rsidRPr="00CB4109">
        <w:rPr>
          <w:rStyle w:val="FootnoteReference"/>
          <w:rFonts w:ascii="Arial" w:hAnsi="Arial" w:cs="Arial"/>
        </w:rPr>
        <w:footnoteRef/>
      </w:r>
      <w:r w:rsidRPr="00CB4109">
        <w:rPr>
          <w:rFonts w:ascii="Arial" w:hAnsi="Arial" w:cs="Arial"/>
        </w:rPr>
        <w:t xml:space="preserve"> Case C-617/10 </w:t>
      </w:r>
      <w:r w:rsidRPr="00CB4109">
        <w:rPr>
          <w:rFonts w:ascii="Arial" w:eastAsia="Times New Roman" w:hAnsi="Arial" w:cs="Arial"/>
          <w:bCs/>
          <w:i/>
        </w:rPr>
        <w:t>Å</w:t>
      </w:r>
      <w:r w:rsidRPr="00CB4109">
        <w:rPr>
          <w:rFonts w:ascii="Arial" w:hAnsi="Arial" w:cs="Arial"/>
          <w:i/>
        </w:rPr>
        <w:t xml:space="preserve">klagaren v Hans </w:t>
      </w:r>
      <w:r w:rsidRPr="00CB4109">
        <w:rPr>
          <w:rFonts w:ascii="Arial" w:eastAsia="Times New Roman" w:hAnsi="Arial" w:cs="Arial"/>
          <w:bCs/>
          <w:i/>
        </w:rPr>
        <w:t>Å</w:t>
      </w:r>
      <w:r w:rsidRPr="00CB4109">
        <w:rPr>
          <w:rFonts w:ascii="Arial" w:hAnsi="Arial" w:cs="Arial"/>
          <w:i/>
        </w:rPr>
        <w:t>kerberg Fransson</w:t>
      </w:r>
      <w:r w:rsidRPr="00CB4109">
        <w:rPr>
          <w:rFonts w:ascii="Arial" w:hAnsi="Arial" w:cs="Arial"/>
        </w:rPr>
        <w:t>, 7 May 2013.</w:t>
      </w:r>
    </w:p>
  </w:footnote>
  <w:footnote w:id="41">
    <w:p w14:paraId="315BA952" w14:textId="77777777" w:rsidR="00E71EB2" w:rsidRPr="00CB4109" w:rsidRDefault="00E71EB2" w:rsidP="0048325B">
      <w:pPr>
        <w:pStyle w:val="FootnoteText"/>
        <w:rPr>
          <w:rFonts w:ascii="Arial" w:hAnsi="Arial" w:cs="Arial"/>
          <w:lang w:val="en-US"/>
        </w:rPr>
      </w:pPr>
      <w:r w:rsidRPr="00CB4109">
        <w:rPr>
          <w:rStyle w:val="FootnoteReference"/>
          <w:rFonts w:ascii="Arial" w:hAnsi="Arial" w:cs="Arial"/>
        </w:rPr>
        <w:footnoteRef/>
      </w:r>
      <w:r w:rsidRPr="00CB4109">
        <w:rPr>
          <w:rFonts w:ascii="Arial" w:hAnsi="Arial" w:cs="Arial"/>
        </w:rPr>
        <w:t xml:space="preserve"> </w:t>
      </w:r>
      <w:r w:rsidRPr="00CB4109">
        <w:rPr>
          <w:rFonts w:ascii="Arial" w:hAnsi="Arial" w:cs="Arial"/>
          <w:i/>
          <w:lang w:val="en-US"/>
        </w:rPr>
        <w:t>Ibid,</w:t>
      </w:r>
      <w:r w:rsidRPr="00CB4109">
        <w:rPr>
          <w:rFonts w:ascii="Arial" w:hAnsi="Arial" w:cs="Arial"/>
          <w:lang w:val="en-US"/>
        </w:rPr>
        <w:t xml:space="preserve"> para 21.</w:t>
      </w:r>
    </w:p>
  </w:footnote>
  <w:footnote w:id="42">
    <w:p w14:paraId="387C1256" w14:textId="77777777" w:rsidR="00E71EB2" w:rsidRPr="00CB4109" w:rsidRDefault="00E71EB2" w:rsidP="00303E3D">
      <w:pPr>
        <w:spacing w:after="0" w:line="240" w:lineRule="auto"/>
        <w:rPr>
          <w:rFonts w:ascii="Arial" w:hAnsi="Arial" w:cs="Arial"/>
          <w:sz w:val="20"/>
          <w:szCs w:val="20"/>
          <w:lang w:val="en-US"/>
        </w:rPr>
      </w:pPr>
      <w:r w:rsidRPr="00CB4109">
        <w:rPr>
          <w:rStyle w:val="FootnoteReference"/>
          <w:rFonts w:ascii="Arial" w:hAnsi="Arial" w:cs="Arial"/>
          <w:sz w:val="20"/>
          <w:szCs w:val="20"/>
        </w:rPr>
        <w:footnoteRef/>
      </w:r>
      <w:r w:rsidRPr="00CB4109">
        <w:rPr>
          <w:rFonts w:ascii="Arial" w:hAnsi="Arial" w:cs="Arial"/>
          <w:sz w:val="20"/>
          <w:szCs w:val="20"/>
        </w:rPr>
        <w:t xml:space="preserve"> </w:t>
      </w:r>
      <w:r w:rsidRPr="00CB4109">
        <w:rPr>
          <w:rFonts w:ascii="Arial" w:eastAsia="Times New Roman" w:hAnsi="Arial" w:cs="Arial"/>
          <w:sz w:val="20"/>
          <w:szCs w:val="20"/>
        </w:rPr>
        <w:t xml:space="preserve">Case C-206/13, </w:t>
      </w:r>
      <w:r w:rsidRPr="00CB4109">
        <w:rPr>
          <w:rFonts w:ascii="Arial" w:eastAsia="Times New Roman" w:hAnsi="Arial" w:cs="Arial"/>
          <w:i/>
          <w:sz w:val="20"/>
          <w:szCs w:val="20"/>
        </w:rPr>
        <w:t xml:space="preserve">Cruciano Siragusa, </w:t>
      </w:r>
      <w:r w:rsidRPr="00CB4109">
        <w:rPr>
          <w:rFonts w:ascii="Arial" w:eastAsia="Times New Roman" w:hAnsi="Arial" w:cs="Arial"/>
          <w:sz w:val="20"/>
          <w:szCs w:val="20"/>
        </w:rPr>
        <w:t xml:space="preserve">6 March 2014; Case C-265/13, </w:t>
      </w:r>
      <w:r w:rsidRPr="00CB4109">
        <w:rPr>
          <w:rFonts w:ascii="Arial" w:eastAsia="Times New Roman" w:hAnsi="Arial" w:cs="Arial"/>
          <w:i/>
          <w:sz w:val="20"/>
          <w:szCs w:val="20"/>
        </w:rPr>
        <w:t>Emiliano Torralbo Marcos v Korota SA and Fondo de Garantía Salarial,</w:t>
      </w:r>
      <w:r w:rsidRPr="00CB4109">
        <w:rPr>
          <w:rFonts w:ascii="Arial" w:eastAsia="Times New Roman" w:hAnsi="Arial" w:cs="Arial"/>
          <w:sz w:val="20"/>
          <w:szCs w:val="20"/>
        </w:rPr>
        <w:t xml:space="preserve"> 27 March 2014; Case C-390/12</w:t>
      </w:r>
      <w:r w:rsidRPr="00CB4109">
        <w:rPr>
          <w:rFonts w:ascii="Arial" w:eastAsia="Times New Roman" w:hAnsi="Arial" w:cs="Arial"/>
          <w:bCs/>
          <w:sz w:val="20"/>
          <w:szCs w:val="20"/>
        </w:rPr>
        <w:t xml:space="preserve"> </w:t>
      </w:r>
      <w:r w:rsidRPr="00CB4109">
        <w:rPr>
          <w:rFonts w:ascii="Arial" w:eastAsia="Times New Roman" w:hAnsi="Arial" w:cs="Arial"/>
          <w:bCs/>
          <w:i/>
          <w:sz w:val="20"/>
          <w:szCs w:val="20"/>
        </w:rPr>
        <w:t xml:space="preserve">Robert Pfleger </w:t>
      </w:r>
      <w:r w:rsidRPr="00CB4109">
        <w:rPr>
          <w:rFonts w:ascii="Arial" w:eastAsia="Times New Roman" w:hAnsi="Arial" w:cs="Arial"/>
          <w:sz w:val="20"/>
          <w:szCs w:val="20"/>
        </w:rPr>
        <w:t>30 April 2014.</w:t>
      </w:r>
    </w:p>
  </w:footnote>
  <w:footnote w:id="43">
    <w:p w14:paraId="55EF479E" w14:textId="7D50A508" w:rsidR="00E71EB2" w:rsidRPr="00CB4109" w:rsidRDefault="00E71EB2" w:rsidP="0048325B">
      <w:pPr>
        <w:pStyle w:val="FootnoteText"/>
        <w:rPr>
          <w:rFonts w:ascii="Arial" w:hAnsi="Arial" w:cs="Arial"/>
          <w:lang w:val="en-US"/>
        </w:rPr>
      </w:pPr>
      <w:r w:rsidRPr="00CB4109">
        <w:rPr>
          <w:rStyle w:val="FootnoteReference"/>
          <w:rFonts w:ascii="Arial" w:hAnsi="Arial" w:cs="Arial"/>
        </w:rPr>
        <w:footnoteRef/>
      </w:r>
      <w:r w:rsidRPr="00CB4109">
        <w:rPr>
          <w:rFonts w:ascii="Arial" w:hAnsi="Arial" w:cs="Arial"/>
        </w:rPr>
        <w:t xml:space="preserve"> </w:t>
      </w:r>
      <w:r w:rsidRPr="00CB4109">
        <w:rPr>
          <w:rFonts w:ascii="Arial" w:eastAsia="Times New Roman" w:hAnsi="Arial" w:cs="Arial"/>
        </w:rPr>
        <w:t xml:space="preserve">Case C-198/13 </w:t>
      </w:r>
      <w:r w:rsidRPr="00CB4109">
        <w:rPr>
          <w:rFonts w:ascii="Arial" w:eastAsia="Times New Roman" w:hAnsi="Arial" w:cs="Arial"/>
          <w:i/>
        </w:rPr>
        <w:t>Julian Hernandez</w:t>
      </w:r>
      <w:r w:rsidRPr="00CB4109">
        <w:rPr>
          <w:rFonts w:ascii="Arial" w:eastAsia="Times New Roman" w:hAnsi="Arial" w:cs="Arial"/>
        </w:rPr>
        <w:t xml:space="preserve"> and others. 10 July 2014.</w:t>
      </w:r>
    </w:p>
  </w:footnote>
  <w:footnote w:id="44">
    <w:p w14:paraId="579B56A8" w14:textId="77777777" w:rsidR="00E71EB2" w:rsidRPr="00CB4109" w:rsidRDefault="00E71EB2" w:rsidP="0048325B">
      <w:pPr>
        <w:pStyle w:val="FootnoteText"/>
        <w:rPr>
          <w:rFonts w:ascii="Arial" w:hAnsi="Arial" w:cs="Arial"/>
          <w:lang w:val="en-US"/>
        </w:rPr>
      </w:pPr>
      <w:r w:rsidRPr="00CB4109">
        <w:rPr>
          <w:rStyle w:val="FootnoteReference"/>
          <w:rFonts w:ascii="Arial" w:hAnsi="Arial" w:cs="Arial"/>
        </w:rPr>
        <w:footnoteRef/>
      </w:r>
      <w:r w:rsidRPr="00CB4109">
        <w:rPr>
          <w:rFonts w:ascii="Arial" w:hAnsi="Arial" w:cs="Arial"/>
        </w:rPr>
        <w:t xml:space="preserve"> </w:t>
      </w:r>
      <w:r w:rsidRPr="00CB4109">
        <w:rPr>
          <w:rFonts w:ascii="Arial" w:eastAsia="Times New Roman" w:hAnsi="Arial" w:cs="Arial"/>
        </w:rPr>
        <w:t xml:space="preserve">See Court of Justice of the European Union, </w:t>
      </w:r>
      <w:r w:rsidRPr="00CB4109">
        <w:rPr>
          <w:rFonts w:ascii="Arial" w:eastAsia="Times New Roman" w:hAnsi="Arial" w:cs="Arial"/>
          <w:i/>
        </w:rPr>
        <w:t>Annual Report 2014</w:t>
      </w:r>
      <w:r w:rsidRPr="00CB4109">
        <w:rPr>
          <w:rFonts w:ascii="Arial" w:eastAsia="Times New Roman" w:hAnsi="Arial" w:cs="Arial"/>
        </w:rPr>
        <w:t xml:space="preserve"> (p. 14) at </w:t>
      </w:r>
      <w:hyperlink r:id="rId18" w:history="1">
        <w:r w:rsidRPr="00CB4109">
          <w:rPr>
            <w:rStyle w:val="Hyperlink"/>
            <w:rFonts w:ascii="Arial" w:eastAsia="Times New Roman" w:hAnsi="Arial" w:cs="Arial"/>
          </w:rPr>
          <w:t>http://curia.europa.eu/jcms/upload/docs/application/pdf/2015-04/en_ecj_annual_report_2014_pr1.pdf</w:t>
        </w:r>
      </w:hyperlink>
    </w:p>
  </w:footnote>
  <w:footnote w:id="45">
    <w:p w14:paraId="0B8774E0" w14:textId="0BE27603" w:rsidR="00E71EB2" w:rsidRPr="00CB4109" w:rsidRDefault="00E71EB2" w:rsidP="0048325B">
      <w:pPr>
        <w:pStyle w:val="FootnoteText"/>
        <w:rPr>
          <w:rFonts w:ascii="Arial" w:hAnsi="Arial" w:cs="Arial"/>
          <w:lang w:val="en-US"/>
        </w:rPr>
      </w:pPr>
      <w:r w:rsidRPr="00CB4109">
        <w:rPr>
          <w:rStyle w:val="FootnoteReference"/>
          <w:rFonts w:ascii="Arial" w:hAnsi="Arial" w:cs="Arial"/>
        </w:rPr>
        <w:footnoteRef/>
      </w:r>
      <w:r w:rsidRPr="00CB4109">
        <w:rPr>
          <w:rFonts w:ascii="Arial" w:hAnsi="Arial" w:cs="Arial"/>
        </w:rPr>
        <w:t xml:space="preserve"> </w:t>
      </w:r>
      <w:r w:rsidRPr="00CB4109">
        <w:rPr>
          <w:rFonts w:ascii="Arial" w:eastAsia="Times New Roman" w:hAnsi="Arial" w:cs="Arial"/>
        </w:rPr>
        <w:t xml:space="preserve">Case C-198/13 </w:t>
      </w:r>
      <w:r w:rsidRPr="00CB4109">
        <w:rPr>
          <w:rFonts w:ascii="Arial" w:eastAsia="Times New Roman" w:hAnsi="Arial" w:cs="Arial"/>
          <w:i/>
        </w:rPr>
        <w:t>Julian Hernandez</w:t>
      </w:r>
      <w:r w:rsidRPr="00CB4109">
        <w:rPr>
          <w:rFonts w:ascii="Arial" w:eastAsia="Times New Roman" w:hAnsi="Arial" w:cs="Arial"/>
        </w:rPr>
        <w:t xml:space="preserve"> and others. Para 45.</w:t>
      </w:r>
    </w:p>
  </w:footnote>
  <w:footnote w:id="46">
    <w:p w14:paraId="7D585833" w14:textId="77777777" w:rsidR="00E71EB2" w:rsidRPr="00CB4109" w:rsidRDefault="00E71EB2" w:rsidP="0048325B">
      <w:pPr>
        <w:pStyle w:val="FootnoteText"/>
        <w:rPr>
          <w:rFonts w:ascii="Arial" w:hAnsi="Arial" w:cs="Arial"/>
          <w:lang w:val="en-US"/>
        </w:rPr>
      </w:pPr>
      <w:r w:rsidRPr="00CB4109">
        <w:rPr>
          <w:rStyle w:val="FootnoteReference"/>
          <w:rFonts w:ascii="Arial" w:hAnsi="Arial" w:cs="Arial"/>
        </w:rPr>
        <w:footnoteRef/>
      </w:r>
      <w:r w:rsidRPr="00CB4109">
        <w:rPr>
          <w:rFonts w:ascii="Arial" w:hAnsi="Arial" w:cs="Arial"/>
        </w:rPr>
        <w:t xml:space="preserve"> </w:t>
      </w:r>
      <w:hyperlink r:id="rId19" w:history="1">
        <w:r w:rsidRPr="00CB4109">
          <w:rPr>
            <w:rStyle w:val="Hyperlink"/>
            <w:rFonts w:ascii="Arial" w:eastAsia="Times New Roman" w:hAnsi="Arial" w:cs="Arial"/>
          </w:rPr>
          <w:t>http://www.eui.eu/Projects/CentreForJudicialCooperation/Projects/CharterClick/</w:t>
        </w:r>
      </w:hyperlink>
      <w:hyperlink r:id="rId20" w:history="1">
        <w:r w:rsidRPr="00CB4109">
          <w:rPr>
            <w:rStyle w:val="Hyperlink"/>
            <w:rFonts w:ascii="Arial" w:eastAsia="Times New Roman" w:hAnsi="Arial" w:cs="Arial"/>
          </w:rPr>
          <w:t>Charterclick.aspx</w:t>
        </w:r>
      </w:hyperlink>
    </w:p>
  </w:footnote>
  <w:footnote w:id="47">
    <w:p w14:paraId="30DDAE7F" w14:textId="46E0C4B4" w:rsidR="00E71EB2" w:rsidRPr="00CB4109" w:rsidRDefault="00E71EB2" w:rsidP="0048325B">
      <w:pPr>
        <w:pStyle w:val="FootnoteText"/>
        <w:rPr>
          <w:rFonts w:ascii="Arial" w:hAnsi="Arial" w:cs="Arial"/>
          <w:lang w:val="en-US"/>
        </w:rPr>
      </w:pPr>
      <w:r w:rsidRPr="00CB4109">
        <w:rPr>
          <w:rStyle w:val="FootnoteReference"/>
          <w:rFonts w:ascii="Arial" w:hAnsi="Arial" w:cs="Arial"/>
        </w:rPr>
        <w:footnoteRef/>
      </w:r>
      <w:r w:rsidRPr="00CB4109">
        <w:rPr>
          <w:rFonts w:ascii="Arial" w:hAnsi="Arial" w:cs="Arial"/>
        </w:rPr>
        <w:t xml:space="preserve"> </w:t>
      </w:r>
      <w:r w:rsidRPr="00CB4109">
        <w:rPr>
          <w:rFonts w:ascii="Arial" w:hAnsi="Arial" w:cs="Arial"/>
          <w:i/>
        </w:rPr>
        <w:t>Explanations relating to the Charter of Fundamental Rights</w:t>
      </w:r>
      <w:r w:rsidRPr="00CB4109">
        <w:rPr>
          <w:rFonts w:ascii="Arial" w:hAnsi="Arial" w:cs="Arial"/>
        </w:rPr>
        <w:t xml:space="preserve"> (OJ 2007/C 303/02).</w:t>
      </w:r>
    </w:p>
  </w:footnote>
  <w:footnote w:id="48">
    <w:p w14:paraId="194B6A1B" w14:textId="431BCED2" w:rsidR="00E71EB2" w:rsidRPr="00CB4109" w:rsidRDefault="00E71EB2" w:rsidP="0048325B">
      <w:pPr>
        <w:pStyle w:val="FootnoteText"/>
        <w:rPr>
          <w:rFonts w:ascii="Arial" w:hAnsi="Arial" w:cs="Arial"/>
          <w:lang w:val="en-US"/>
        </w:rPr>
      </w:pPr>
      <w:r w:rsidRPr="00CB4109">
        <w:rPr>
          <w:rStyle w:val="FootnoteReference"/>
          <w:rFonts w:ascii="Arial" w:hAnsi="Arial" w:cs="Arial"/>
        </w:rPr>
        <w:footnoteRef/>
      </w:r>
      <w:r w:rsidRPr="00CB4109">
        <w:rPr>
          <w:rFonts w:ascii="Arial" w:hAnsi="Arial" w:cs="Arial"/>
        </w:rPr>
        <w:t xml:space="preserve"> </w:t>
      </w:r>
      <w:r w:rsidRPr="00CB4109">
        <w:rPr>
          <w:rFonts w:ascii="Arial" w:hAnsi="Arial" w:cs="Arial"/>
          <w:lang w:val="en-US"/>
        </w:rPr>
        <w:t xml:space="preserve">See especially </w:t>
      </w:r>
      <w:r w:rsidRPr="00CB4109">
        <w:rPr>
          <w:rFonts w:ascii="Arial" w:hAnsi="Arial" w:cs="Arial"/>
          <w:color w:val="000000"/>
        </w:rPr>
        <w:t xml:space="preserve">Case C-415/11 </w:t>
      </w:r>
      <w:r w:rsidRPr="00CB4109">
        <w:rPr>
          <w:rFonts w:ascii="Arial" w:hAnsi="Arial" w:cs="Arial"/>
          <w:i/>
          <w:color w:val="000000"/>
        </w:rPr>
        <w:t>Aziz v Caixa d´Estalvis de Catalunya</w:t>
      </w:r>
      <w:r w:rsidRPr="00CB4109">
        <w:rPr>
          <w:rFonts w:ascii="Arial" w:hAnsi="Arial" w:cs="Arial"/>
          <w:lang w:val="en-US"/>
        </w:rPr>
        <w:t xml:space="preserve"> and </w:t>
      </w:r>
      <w:r w:rsidRPr="00CB4109">
        <w:rPr>
          <w:rFonts w:ascii="Arial" w:hAnsi="Arial" w:cs="Arial"/>
          <w:bCs/>
          <w:i/>
        </w:rPr>
        <w:t xml:space="preserve">Kušionová </w:t>
      </w:r>
      <w:r w:rsidRPr="00CB4109">
        <w:rPr>
          <w:rFonts w:ascii="Arial" w:hAnsi="Arial" w:cs="Arial"/>
          <w:bCs/>
        </w:rPr>
        <w:t>cases below.</w:t>
      </w:r>
    </w:p>
  </w:footnote>
  <w:footnote w:id="49">
    <w:p w14:paraId="3059CE7E" w14:textId="295D85A8" w:rsidR="00E71EB2" w:rsidRPr="00CB4109" w:rsidRDefault="00E71EB2" w:rsidP="004832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0"/>
          <w:szCs w:val="20"/>
        </w:rPr>
      </w:pPr>
      <w:r w:rsidRPr="00CB4109">
        <w:rPr>
          <w:rStyle w:val="FootnoteReference"/>
          <w:rFonts w:ascii="Arial" w:hAnsi="Arial" w:cs="Arial"/>
          <w:sz w:val="20"/>
          <w:szCs w:val="20"/>
        </w:rPr>
        <w:footnoteRef/>
      </w:r>
      <w:r w:rsidRPr="00CB4109">
        <w:rPr>
          <w:rFonts w:ascii="Arial" w:hAnsi="Arial" w:cs="Arial"/>
          <w:sz w:val="20"/>
          <w:szCs w:val="20"/>
        </w:rPr>
        <w:t xml:space="preserve"> Article 3 of the ECHR states: “No one shall be subjected to torture or to inhuman or degrading treatment or punishment.” See </w:t>
      </w:r>
      <w:r w:rsidRPr="00CB4109">
        <w:rPr>
          <w:rFonts w:ascii="Arial" w:hAnsi="Arial" w:cs="Arial"/>
          <w:bCs/>
          <w:i/>
          <w:sz w:val="20"/>
          <w:szCs w:val="20"/>
        </w:rPr>
        <w:t>M.S.S. v. Belgium and Greece</w:t>
      </w:r>
      <w:r w:rsidRPr="00CB4109">
        <w:rPr>
          <w:rFonts w:ascii="Arial" w:hAnsi="Arial" w:cs="Arial"/>
          <w:sz w:val="20"/>
          <w:szCs w:val="20"/>
        </w:rPr>
        <w:t xml:space="preserve"> (Grand Chamber) </w:t>
      </w:r>
      <w:r w:rsidRPr="00CB4109">
        <w:rPr>
          <w:rFonts w:ascii="Arial" w:hAnsi="Arial" w:cs="Arial"/>
          <w:i/>
          <w:iCs/>
          <w:sz w:val="20"/>
          <w:szCs w:val="20"/>
        </w:rPr>
        <w:t>(</w:t>
      </w:r>
      <w:r w:rsidRPr="00CB4109">
        <w:rPr>
          <w:rFonts w:ascii="Arial" w:hAnsi="Arial" w:cs="Arial"/>
          <w:iCs/>
          <w:sz w:val="20"/>
          <w:szCs w:val="20"/>
        </w:rPr>
        <w:t>Application no. 30696/09)</w:t>
      </w:r>
      <w:r w:rsidRPr="00CB4109">
        <w:rPr>
          <w:rFonts w:ascii="Arial" w:hAnsi="Arial" w:cs="Arial"/>
          <w:sz w:val="20"/>
          <w:szCs w:val="20"/>
        </w:rPr>
        <w:t xml:space="preserve"> Judgment 21 January 2011. See also </w:t>
      </w:r>
      <w:r w:rsidRPr="00CB4109">
        <w:rPr>
          <w:rFonts w:ascii="Arial" w:hAnsi="Arial" w:cs="Arial"/>
          <w:i/>
          <w:sz w:val="20"/>
          <w:szCs w:val="20"/>
        </w:rPr>
        <w:t>Hunde v Netherlands</w:t>
      </w:r>
      <w:r w:rsidRPr="00CB4109">
        <w:rPr>
          <w:rFonts w:ascii="Arial" w:hAnsi="Arial" w:cs="Arial"/>
          <w:sz w:val="20"/>
          <w:szCs w:val="20"/>
        </w:rPr>
        <w:t xml:space="preserve"> Application 17931/16, 5 July 2016.</w:t>
      </w:r>
    </w:p>
  </w:footnote>
  <w:footnote w:id="50">
    <w:p w14:paraId="00538FAB" w14:textId="09A25F51" w:rsidR="00E71EB2" w:rsidRPr="00CB4109" w:rsidRDefault="00E71EB2" w:rsidP="0048325B">
      <w:pPr>
        <w:spacing w:after="0" w:line="240" w:lineRule="auto"/>
        <w:rPr>
          <w:rFonts w:ascii="Arial" w:hAnsi="Arial" w:cs="Arial"/>
          <w:sz w:val="20"/>
          <w:szCs w:val="20"/>
        </w:rPr>
      </w:pPr>
      <w:r w:rsidRPr="00CB4109">
        <w:rPr>
          <w:rStyle w:val="FootnoteReference"/>
          <w:rFonts w:ascii="Arial" w:hAnsi="Arial" w:cs="Arial"/>
          <w:sz w:val="20"/>
          <w:szCs w:val="20"/>
        </w:rPr>
        <w:footnoteRef/>
      </w:r>
      <w:r w:rsidRPr="00CB4109">
        <w:rPr>
          <w:rFonts w:ascii="Arial" w:hAnsi="Arial" w:cs="Arial"/>
          <w:sz w:val="20"/>
          <w:szCs w:val="20"/>
        </w:rPr>
        <w:t xml:space="preserve"> See </w:t>
      </w:r>
      <w:r w:rsidRPr="00CB4109">
        <w:rPr>
          <w:rFonts w:ascii="Arial" w:hAnsi="Arial" w:cs="Arial"/>
          <w:bCs/>
          <w:i/>
          <w:sz w:val="20"/>
          <w:szCs w:val="20"/>
        </w:rPr>
        <w:t>M.S.S. v. Belgium and Greece</w:t>
      </w:r>
      <w:r w:rsidRPr="00CB4109">
        <w:rPr>
          <w:rFonts w:ascii="Arial" w:hAnsi="Arial" w:cs="Arial"/>
          <w:sz w:val="20"/>
          <w:szCs w:val="20"/>
        </w:rPr>
        <w:t xml:space="preserve"> (Grand Chamber) </w:t>
      </w:r>
      <w:r w:rsidRPr="00CB4109">
        <w:rPr>
          <w:rFonts w:ascii="Arial" w:hAnsi="Arial" w:cs="Arial"/>
          <w:i/>
          <w:iCs/>
          <w:sz w:val="20"/>
          <w:szCs w:val="20"/>
        </w:rPr>
        <w:t>(</w:t>
      </w:r>
      <w:r w:rsidRPr="00CB4109">
        <w:rPr>
          <w:rFonts w:ascii="Arial" w:hAnsi="Arial" w:cs="Arial"/>
          <w:iCs/>
          <w:sz w:val="20"/>
          <w:szCs w:val="20"/>
        </w:rPr>
        <w:t>Application no. 30696/09)</w:t>
      </w:r>
      <w:r w:rsidRPr="00CB4109">
        <w:rPr>
          <w:rFonts w:ascii="Arial" w:hAnsi="Arial" w:cs="Arial"/>
          <w:sz w:val="20"/>
          <w:szCs w:val="20"/>
        </w:rPr>
        <w:t xml:space="preserve"> Judgment 21 January 2011; </w:t>
      </w:r>
      <w:r w:rsidRPr="00CB4109">
        <w:rPr>
          <w:rFonts w:ascii="Arial" w:hAnsi="Arial" w:cs="Arial"/>
          <w:i/>
          <w:iCs/>
          <w:sz w:val="20"/>
          <w:szCs w:val="20"/>
          <w:lang w:eastAsia="en-GB"/>
        </w:rPr>
        <w:t xml:space="preserve">Moldovan v Romania </w:t>
      </w:r>
      <w:r w:rsidRPr="00CB4109">
        <w:rPr>
          <w:rFonts w:ascii="Arial" w:hAnsi="Arial" w:cs="Arial"/>
          <w:sz w:val="20"/>
          <w:szCs w:val="20"/>
          <w:lang w:eastAsia="en-GB"/>
        </w:rPr>
        <w:t>(2005) 44 EHRR 16</w:t>
      </w:r>
      <w:r w:rsidRPr="00CB4109">
        <w:rPr>
          <w:rFonts w:ascii="Arial" w:hAnsi="Arial" w:cs="Arial"/>
          <w:sz w:val="20"/>
          <w:szCs w:val="20"/>
        </w:rPr>
        <w:t xml:space="preserve">. </w:t>
      </w:r>
    </w:p>
  </w:footnote>
  <w:footnote w:id="51">
    <w:p w14:paraId="20BB4912" w14:textId="77777777" w:rsidR="00E71EB2" w:rsidRPr="00CB4109" w:rsidRDefault="00E71EB2" w:rsidP="0048325B">
      <w:pPr>
        <w:spacing w:after="0" w:line="240" w:lineRule="auto"/>
        <w:rPr>
          <w:rFonts w:ascii="Arial" w:hAnsi="Arial" w:cs="Arial"/>
          <w:sz w:val="20"/>
          <w:szCs w:val="20"/>
        </w:rPr>
      </w:pPr>
      <w:r w:rsidRPr="00CB4109">
        <w:rPr>
          <w:rStyle w:val="FootnoteReference"/>
          <w:rFonts w:ascii="Arial" w:hAnsi="Arial" w:cs="Arial"/>
          <w:sz w:val="20"/>
          <w:szCs w:val="20"/>
        </w:rPr>
        <w:footnoteRef/>
      </w:r>
      <w:r w:rsidRPr="00CB4109">
        <w:rPr>
          <w:rFonts w:ascii="Arial" w:hAnsi="Arial" w:cs="Arial"/>
          <w:sz w:val="20"/>
          <w:szCs w:val="20"/>
        </w:rPr>
        <w:t xml:space="preserve"> Article 8 of the ECHR states: </w:t>
      </w:r>
      <w:r w:rsidRPr="00CB4109">
        <w:rPr>
          <w:rFonts w:ascii="Arial" w:hAnsi="Arial" w:cs="Arial"/>
          <w:i/>
          <w:sz w:val="20"/>
          <w:szCs w:val="20"/>
        </w:rPr>
        <w:t>“Everyone has the right to respect for his private and family life, his home and his correspondence. There shall be no interference by a public authority with the exercise of this right except such as is in accordance with the law and is necessary in a democratic society in the interests of national security, public safety or the economic well-being of the country, for the prevention of disorder or crime, for the protection of health or morals, or for the protection of the rights and freedoms of others.”</w:t>
      </w:r>
    </w:p>
  </w:footnote>
  <w:footnote w:id="52">
    <w:p w14:paraId="2A3F1B52" w14:textId="6ED3E1BC" w:rsidR="00E71EB2" w:rsidRPr="00CB4109" w:rsidRDefault="00E71EB2">
      <w:pPr>
        <w:pStyle w:val="FootnoteText"/>
        <w:rPr>
          <w:rFonts w:ascii="Arial" w:hAnsi="Arial" w:cs="Arial"/>
          <w:lang w:val="en-US"/>
        </w:rPr>
      </w:pPr>
      <w:r w:rsidRPr="00CB4109">
        <w:rPr>
          <w:rStyle w:val="FootnoteReference"/>
          <w:rFonts w:ascii="Arial" w:hAnsi="Arial" w:cs="Arial"/>
        </w:rPr>
        <w:footnoteRef/>
      </w:r>
      <w:r w:rsidRPr="00CB4109">
        <w:rPr>
          <w:rFonts w:ascii="Arial" w:hAnsi="Arial" w:cs="Arial"/>
        </w:rPr>
        <w:t xml:space="preserve"> </w:t>
      </w:r>
      <w:r w:rsidRPr="00CB4109">
        <w:rPr>
          <w:rFonts w:ascii="Arial" w:hAnsi="Arial" w:cs="Arial"/>
          <w:lang w:val="en-US"/>
        </w:rPr>
        <w:t xml:space="preserve">See </w:t>
      </w:r>
      <w:r w:rsidRPr="00CB4109">
        <w:rPr>
          <w:rFonts w:ascii="Arial" w:hAnsi="Arial" w:cs="Arial"/>
          <w:i/>
          <w:lang w:val="en-US"/>
        </w:rPr>
        <w:t>Orlic v Croatia</w:t>
      </w:r>
      <w:r w:rsidRPr="00CB4109">
        <w:rPr>
          <w:rFonts w:ascii="Arial" w:hAnsi="Arial" w:cs="Arial"/>
          <w:lang w:val="en-US"/>
        </w:rPr>
        <w:t xml:space="preserve"> (Application no. 48833/07) Judgment 21 June 2011, papa 54.</w:t>
      </w:r>
    </w:p>
  </w:footnote>
  <w:footnote w:id="53">
    <w:p w14:paraId="4BEF08FD" w14:textId="5E61BD95" w:rsidR="00E71EB2" w:rsidRPr="00CB4109" w:rsidRDefault="00E71EB2" w:rsidP="0048325B">
      <w:pPr>
        <w:pStyle w:val="FootnoteText"/>
        <w:rPr>
          <w:rFonts w:ascii="Arial" w:hAnsi="Arial" w:cs="Arial"/>
        </w:rPr>
      </w:pPr>
      <w:r w:rsidRPr="00CB4109">
        <w:rPr>
          <w:rStyle w:val="FootnoteReference"/>
          <w:rFonts w:ascii="Arial" w:hAnsi="Arial" w:cs="Arial"/>
        </w:rPr>
        <w:footnoteRef/>
      </w:r>
      <w:r w:rsidRPr="00CB4109">
        <w:rPr>
          <w:rFonts w:ascii="Arial" w:hAnsi="Arial" w:cs="Arial"/>
        </w:rPr>
        <w:t xml:space="preserve"> </w:t>
      </w:r>
      <w:bookmarkStart w:id="1" w:name="para1"/>
      <w:r w:rsidRPr="00CB4109">
        <w:rPr>
          <w:rFonts w:ascii="Arial" w:hAnsi="Arial" w:cs="Arial"/>
          <w:i/>
        </w:rPr>
        <w:t>Ćosić</w:t>
      </w:r>
      <w:bookmarkEnd w:id="1"/>
      <w:r w:rsidRPr="00CB4109">
        <w:rPr>
          <w:rFonts w:ascii="Arial" w:hAnsi="Arial" w:cs="Arial"/>
          <w:i/>
        </w:rPr>
        <w:t xml:space="preserve"> v Croatia </w:t>
      </w:r>
      <w:r w:rsidRPr="00CB4109">
        <w:rPr>
          <w:rFonts w:ascii="Arial" w:hAnsi="Arial" w:cs="Arial"/>
        </w:rPr>
        <w:t xml:space="preserve">ECtHR Judgment 15 January 2009; </w:t>
      </w:r>
      <w:r w:rsidRPr="00CB4109">
        <w:rPr>
          <w:rFonts w:ascii="Arial" w:hAnsi="Arial" w:cs="Arial"/>
          <w:i/>
        </w:rPr>
        <w:t>Stankova v Slovakia</w:t>
      </w:r>
      <w:r w:rsidRPr="00CB4109">
        <w:rPr>
          <w:rFonts w:ascii="Arial" w:hAnsi="Arial" w:cs="Arial"/>
        </w:rPr>
        <w:t xml:space="preserve"> [2007] ECHR 7205/02 (9 October 2007); </w:t>
      </w:r>
      <w:r w:rsidRPr="00CB4109">
        <w:rPr>
          <w:rFonts w:ascii="Arial" w:hAnsi="Arial" w:cs="Arial"/>
          <w:i/>
          <w:lang w:val="de-DE"/>
        </w:rPr>
        <w:t>McCann v UK</w:t>
      </w:r>
      <w:r w:rsidRPr="00CB4109">
        <w:rPr>
          <w:rFonts w:ascii="Arial" w:hAnsi="Arial" w:cs="Arial"/>
        </w:rPr>
        <w:t xml:space="preserve">  [2008] ECHR 385; (2008) 47 EHRR 913, (Application no. 28261/06); </w:t>
      </w:r>
      <w:r w:rsidRPr="00CB4109">
        <w:rPr>
          <w:rFonts w:ascii="Arial" w:hAnsi="Arial" w:cs="Arial"/>
          <w:i/>
          <w:iCs/>
          <w:color w:val="000000"/>
        </w:rPr>
        <w:t>Fadeyeva v Russia</w:t>
      </w:r>
      <w:r w:rsidRPr="00CB4109">
        <w:rPr>
          <w:rFonts w:ascii="Arial" w:hAnsi="Arial" w:cs="Arial"/>
          <w:color w:val="000000"/>
          <w:lang w:val="de-DE"/>
        </w:rPr>
        <w:t xml:space="preserve"> (2007) 45 </w:t>
      </w:r>
      <w:r w:rsidRPr="00CB4109">
        <w:rPr>
          <w:rFonts w:ascii="Arial" w:hAnsi="Arial" w:cs="Arial"/>
          <w:bCs/>
          <w:color w:val="000000"/>
          <w:lang w:val="de-DE"/>
        </w:rPr>
        <w:t>EHRR</w:t>
      </w:r>
      <w:r w:rsidRPr="00CB4109">
        <w:rPr>
          <w:rFonts w:ascii="Arial" w:hAnsi="Arial" w:cs="Arial"/>
          <w:color w:val="000000"/>
          <w:lang w:val="de-DE"/>
        </w:rPr>
        <w:t xml:space="preserve"> 10; </w:t>
      </w:r>
      <w:r w:rsidRPr="00CB4109">
        <w:rPr>
          <w:rFonts w:ascii="Arial" w:hAnsi="Arial" w:cs="Arial"/>
          <w:i/>
          <w:lang w:val="de-DE"/>
        </w:rPr>
        <w:t>Connors v UK</w:t>
      </w:r>
      <w:r w:rsidRPr="00CB4109">
        <w:rPr>
          <w:rFonts w:ascii="Arial" w:hAnsi="Arial" w:cs="Arial"/>
          <w:lang w:val="de-DE"/>
        </w:rPr>
        <w:t xml:space="preserve"> </w:t>
      </w:r>
      <w:r w:rsidRPr="00CB4109">
        <w:rPr>
          <w:rStyle w:val="documentbody"/>
          <w:rFonts w:ascii="Arial" w:hAnsi="Arial" w:cs="Arial"/>
        </w:rPr>
        <w:t>(2004) 40 EHRR 9;</w:t>
      </w:r>
      <w:r w:rsidRPr="00CB4109">
        <w:rPr>
          <w:rFonts w:ascii="Arial" w:hAnsi="Arial" w:cs="Arial"/>
          <w:i/>
        </w:rPr>
        <w:t xml:space="preserve"> </w:t>
      </w:r>
      <w:r w:rsidRPr="00CB4109">
        <w:rPr>
          <w:rStyle w:val="documentbody"/>
          <w:rFonts w:ascii="Arial" w:hAnsi="Arial" w:cs="Arial"/>
          <w:i/>
        </w:rPr>
        <w:t>Chapman v UK</w:t>
      </w:r>
      <w:r w:rsidRPr="00CB4109">
        <w:rPr>
          <w:rStyle w:val="documentbody"/>
          <w:rFonts w:ascii="Arial" w:hAnsi="Arial" w:cs="Arial"/>
        </w:rPr>
        <w:t xml:space="preserve"> (2001) 33 EHRR 18.</w:t>
      </w:r>
    </w:p>
  </w:footnote>
  <w:footnote w:id="54">
    <w:p w14:paraId="2C38A4C8" w14:textId="687AEFF6" w:rsidR="00E71EB2" w:rsidRPr="00CB4109" w:rsidRDefault="00E71EB2" w:rsidP="0048325B">
      <w:pPr>
        <w:pStyle w:val="FootnoteText"/>
        <w:rPr>
          <w:rFonts w:ascii="Arial" w:hAnsi="Arial" w:cs="Arial"/>
          <w:color w:val="000000"/>
        </w:rPr>
      </w:pPr>
      <w:r w:rsidRPr="00CB4109">
        <w:rPr>
          <w:rStyle w:val="FootnoteReference"/>
          <w:rFonts w:ascii="Arial" w:hAnsi="Arial" w:cs="Arial"/>
          <w:color w:val="000000"/>
        </w:rPr>
        <w:footnoteRef/>
      </w:r>
      <w:r w:rsidRPr="00CB4109">
        <w:rPr>
          <w:rFonts w:ascii="Arial" w:hAnsi="Arial" w:cs="Arial"/>
          <w:color w:val="000000"/>
        </w:rPr>
        <w:t xml:space="preserve"> (Application no. 19009/04), ECHR, 13 May 2008. para. 50; See also</w:t>
      </w:r>
      <w:r w:rsidRPr="00CB4109">
        <w:rPr>
          <w:rFonts w:ascii="Arial" w:hAnsi="Arial" w:cs="Arial"/>
          <w:i/>
          <w:iCs/>
          <w:color w:val="000000" w:themeColor="text1"/>
        </w:rPr>
        <w:t xml:space="preserve"> Yordanova and Others v Bulgaria</w:t>
      </w:r>
      <w:r w:rsidRPr="00CB4109">
        <w:rPr>
          <w:rFonts w:ascii="Arial" w:hAnsi="Arial" w:cs="Arial"/>
          <w:iCs/>
          <w:color w:val="000000" w:themeColor="text1"/>
        </w:rPr>
        <w:t xml:space="preserve"> (</w:t>
      </w:r>
      <w:r w:rsidRPr="00CB4109">
        <w:rPr>
          <w:rFonts w:ascii="Arial" w:hAnsi="Arial" w:cs="Arial"/>
          <w:iCs/>
        </w:rPr>
        <w:t xml:space="preserve">Application No. 25446/06), (ECHR, 24 September 2012); </w:t>
      </w:r>
      <w:r w:rsidRPr="00CB4109">
        <w:rPr>
          <w:rFonts w:ascii="Arial" w:hAnsi="Arial" w:cs="Arial"/>
          <w:i/>
          <w:color w:val="000000" w:themeColor="text1"/>
        </w:rPr>
        <w:t>Ceesay and Others v Spain</w:t>
      </w:r>
      <w:r w:rsidRPr="00CB4109">
        <w:rPr>
          <w:rFonts w:ascii="Arial" w:hAnsi="Arial" w:cs="Arial"/>
          <w:color w:val="000000" w:themeColor="text1"/>
        </w:rPr>
        <w:t>, (App. No 62688/13), Interim Decision 15 October 2013.</w:t>
      </w:r>
    </w:p>
  </w:footnote>
  <w:footnote w:id="55">
    <w:p w14:paraId="710D2BEC" w14:textId="77777777" w:rsidR="00E71EB2" w:rsidRPr="00CB4109" w:rsidRDefault="00E71EB2" w:rsidP="004832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0"/>
          <w:szCs w:val="20"/>
        </w:rPr>
      </w:pPr>
      <w:r w:rsidRPr="00CB4109">
        <w:rPr>
          <w:rStyle w:val="FootnoteReference"/>
          <w:rFonts w:ascii="Arial" w:hAnsi="Arial" w:cs="Arial"/>
          <w:sz w:val="20"/>
          <w:szCs w:val="20"/>
        </w:rPr>
        <w:footnoteRef/>
      </w:r>
      <w:r w:rsidRPr="00CB4109">
        <w:rPr>
          <w:rFonts w:ascii="Arial" w:hAnsi="Arial" w:cs="Arial"/>
          <w:sz w:val="20"/>
          <w:szCs w:val="20"/>
        </w:rPr>
        <w:t xml:space="preserve"> Article 1 of Protocol 1 of the ECHR states: “Every natural or legal person is entitled to the peaceful enjoyment of his possessions. No one shall be deprived of his possessions except in the public interest and subject to the conditions provided for by law and by the general principles of international law. The preceding provisions shall not, however, in any way impair the right of a State to enforce such laws as it deems necessary to control the use of property in accordance with the general interest or to secure the payment of taxes or other contributions or penalties”.</w:t>
      </w:r>
    </w:p>
  </w:footnote>
  <w:footnote w:id="56">
    <w:p w14:paraId="55ADD0DE" w14:textId="13EB7E9A" w:rsidR="00E71EB2" w:rsidRPr="00CB4109" w:rsidRDefault="00E71EB2" w:rsidP="0048325B">
      <w:pPr>
        <w:pStyle w:val="FootnoteText"/>
        <w:rPr>
          <w:rFonts w:ascii="Arial" w:hAnsi="Arial" w:cs="Arial"/>
          <w:lang w:val="en-US"/>
        </w:rPr>
      </w:pPr>
      <w:r w:rsidRPr="00CB4109">
        <w:rPr>
          <w:rStyle w:val="FootnoteReference"/>
          <w:rFonts w:ascii="Arial" w:hAnsi="Arial" w:cs="Arial"/>
        </w:rPr>
        <w:footnoteRef/>
      </w:r>
      <w:r w:rsidRPr="00CB4109">
        <w:rPr>
          <w:rFonts w:ascii="Arial" w:hAnsi="Arial" w:cs="Arial"/>
        </w:rPr>
        <w:t xml:space="preserve"> </w:t>
      </w:r>
      <w:r w:rsidRPr="00CB4109">
        <w:rPr>
          <w:rFonts w:ascii="Arial" w:hAnsi="Arial" w:cs="Arial"/>
          <w:lang w:val="en-US"/>
        </w:rPr>
        <w:t xml:space="preserve">See </w:t>
      </w:r>
      <w:r w:rsidRPr="00CB4109">
        <w:rPr>
          <w:rFonts w:ascii="Arial" w:eastAsia="Times New Roman" w:hAnsi="Arial" w:cs="Arial"/>
        </w:rPr>
        <w:t xml:space="preserve">Case 44/79, </w:t>
      </w:r>
      <w:r w:rsidRPr="00CB4109">
        <w:rPr>
          <w:rFonts w:ascii="Arial" w:eastAsia="Times New Roman" w:hAnsi="Arial" w:cs="Arial"/>
          <w:i/>
        </w:rPr>
        <w:t>Liselotte Hauer v. Land Rheinland Pfalz</w:t>
      </w:r>
      <w:r w:rsidRPr="00CB4109">
        <w:rPr>
          <w:rFonts w:ascii="Arial" w:eastAsia="Times New Roman" w:hAnsi="Arial" w:cs="Arial"/>
        </w:rPr>
        <w:t xml:space="preserve"> , 1979 E.C.R. 3727, [1980] 3 C.M.L.R. 42 (1979).</w:t>
      </w:r>
    </w:p>
  </w:footnote>
  <w:footnote w:id="57">
    <w:p w14:paraId="215AF320" w14:textId="77777777" w:rsidR="00E71EB2" w:rsidRPr="00CB4109" w:rsidRDefault="00E71EB2" w:rsidP="004832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0"/>
          <w:szCs w:val="20"/>
        </w:rPr>
      </w:pPr>
      <w:r w:rsidRPr="00CB4109">
        <w:rPr>
          <w:rStyle w:val="FootnoteReference"/>
          <w:rFonts w:ascii="Arial" w:hAnsi="Arial" w:cs="Arial"/>
          <w:sz w:val="20"/>
          <w:szCs w:val="20"/>
        </w:rPr>
        <w:footnoteRef/>
      </w:r>
      <w:r w:rsidRPr="00CB4109">
        <w:rPr>
          <w:rFonts w:ascii="Arial" w:hAnsi="Arial" w:cs="Arial"/>
          <w:sz w:val="20"/>
          <w:szCs w:val="20"/>
        </w:rPr>
        <w:t xml:space="preserve"> See</w:t>
      </w:r>
      <w:r w:rsidRPr="00CB4109">
        <w:rPr>
          <w:rFonts w:ascii="Arial" w:hAnsi="Arial" w:cs="Arial"/>
          <w:color w:val="000000"/>
          <w:sz w:val="20"/>
          <w:szCs w:val="20"/>
        </w:rPr>
        <w:t xml:space="preserve"> </w:t>
      </w:r>
      <w:r w:rsidRPr="00CB4109">
        <w:rPr>
          <w:rFonts w:ascii="Arial" w:hAnsi="Arial" w:cs="Arial"/>
          <w:i/>
          <w:color w:val="000000"/>
          <w:sz w:val="20"/>
          <w:szCs w:val="20"/>
        </w:rPr>
        <w:t>Burdov v Russia</w:t>
      </w:r>
      <w:r w:rsidRPr="00CB4109">
        <w:rPr>
          <w:rFonts w:ascii="Arial" w:hAnsi="Arial" w:cs="Arial"/>
          <w:color w:val="000000"/>
          <w:sz w:val="20"/>
          <w:szCs w:val="20"/>
        </w:rPr>
        <w:t xml:space="preserve"> (No. 2) </w:t>
      </w:r>
      <w:r w:rsidRPr="00CB4109">
        <w:rPr>
          <w:rFonts w:ascii="Arial" w:hAnsi="Arial" w:cs="Arial"/>
          <w:sz w:val="20"/>
          <w:szCs w:val="20"/>
        </w:rPr>
        <w:t xml:space="preserve">(Application No. 33509/04, judgment 04/05/2009); </w:t>
      </w:r>
      <w:r w:rsidRPr="00CB4109">
        <w:rPr>
          <w:rFonts w:ascii="Arial" w:hAnsi="Arial" w:cs="Arial"/>
          <w:color w:val="000000"/>
          <w:sz w:val="20"/>
          <w:szCs w:val="20"/>
        </w:rPr>
        <w:t>Olaru v Moldova</w:t>
      </w:r>
      <w:r w:rsidRPr="00CB4109">
        <w:rPr>
          <w:rFonts w:ascii="Arial" w:hAnsi="Arial" w:cs="Arial"/>
          <w:sz w:val="20"/>
          <w:szCs w:val="20"/>
        </w:rPr>
        <w:t xml:space="preserve"> (Applications nos. 476/07, 22539/05, 17911/08 and 13136/07) Judgment 28 July 2009; </w:t>
      </w:r>
      <w:r w:rsidRPr="00CB4109">
        <w:rPr>
          <w:rFonts w:ascii="Arial" w:hAnsi="Arial" w:cs="Arial"/>
          <w:i/>
          <w:color w:val="000000"/>
          <w:sz w:val="20"/>
          <w:szCs w:val="20"/>
        </w:rPr>
        <w:t>Koua Poirrez v France</w:t>
      </w:r>
      <w:r w:rsidRPr="00CB4109">
        <w:rPr>
          <w:rFonts w:ascii="Arial" w:hAnsi="Arial" w:cs="Arial"/>
          <w:color w:val="000000"/>
          <w:sz w:val="20"/>
          <w:szCs w:val="20"/>
        </w:rPr>
        <w:t xml:space="preserve"> (2005) 40 EHRR 34;</w:t>
      </w:r>
      <w:r w:rsidRPr="00CB4109">
        <w:rPr>
          <w:rFonts w:ascii="Arial" w:hAnsi="Arial" w:cs="Arial"/>
          <w:i/>
          <w:color w:val="000000"/>
          <w:sz w:val="20"/>
          <w:szCs w:val="20"/>
        </w:rPr>
        <w:t>Gaygusuz v Austria</w:t>
      </w:r>
      <w:r w:rsidRPr="00CB4109">
        <w:rPr>
          <w:rFonts w:ascii="Arial" w:hAnsi="Arial" w:cs="Arial"/>
          <w:color w:val="000000"/>
          <w:sz w:val="20"/>
          <w:szCs w:val="20"/>
        </w:rPr>
        <w:t xml:space="preserve"> (1996) 23 EHRR 364; </w:t>
      </w:r>
      <w:r w:rsidRPr="00CB4109">
        <w:rPr>
          <w:rFonts w:ascii="Arial" w:hAnsi="Arial" w:cs="Arial"/>
          <w:i/>
          <w:color w:val="000000"/>
          <w:sz w:val="20"/>
          <w:szCs w:val="20"/>
        </w:rPr>
        <w:t xml:space="preserve">Feldbrugge v The Netherlands </w:t>
      </w:r>
      <w:r w:rsidRPr="00CB4109">
        <w:rPr>
          <w:rFonts w:ascii="Arial" w:hAnsi="Arial" w:cs="Arial"/>
          <w:color w:val="000000"/>
          <w:sz w:val="20"/>
          <w:szCs w:val="20"/>
        </w:rPr>
        <w:t xml:space="preserve">(1986) 8 EHRR 425; </w:t>
      </w:r>
      <w:r w:rsidRPr="00CB4109">
        <w:rPr>
          <w:rFonts w:ascii="Arial" w:hAnsi="Arial" w:cs="Arial"/>
          <w:i/>
          <w:color w:val="000000"/>
          <w:sz w:val="20"/>
          <w:szCs w:val="20"/>
        </w:rPr>
        <w:t>Muller v Austria</w:t>
      </w:r>
      <w:r w:rsidRPr="00CB4109">
        <w:rPr>
          <w:rFonts w:ascii="Arial" w:hAnsi="Arial" w:cs="Arial"/>
          <w:color w:val="000000"/>
          <w:sz w:val="20"/>
          <w:szCs w:val="20"/>
        </w:rPr>
        <w:t xml:space="preserve"> (1975) 3 DR 25.</w:t>
      </w:r>
    </w:p>
  </w:footnote>
  <w:footnote w:id="58">
    <w:p w14:paraId="11F00DD9" w14:textId="46B0D657" w:rsidR="00E71EB2" w:rsidRPr="00CB4109" w:rsidRDefault="00E71EB2" w:rsidP="0048325B">
      <w:pPr>
        <w:pStyle w:val="FootnoteText"/>
        <w:rPr>
          <w:rFonts w:ascii="Arial" w:hAnsi="Arial" w:cs="Arial"/>
          <w:lang w:val="en-US"/>
        </w:rPr>
      </w:pPr>
      <w:r w:rsidRPr="00CB4109">
        <w:rPr>
          <w:rStyle w:val="FootnoteReference"/>
          <w:rFonts w:ascii="Arial" w:hAnsi="Arial" w:cs="Arial"/>
        </w:rPr>
        <w:footnoteRef/>
      </w:r>
      <w:r w:rsidRPr="00CB4109">
        <w:rPr>
          <w:rFonts w:ascii="Arial" w:hAnsi="Arial" w:cs="Arial"/>
        </w:rPr>
        <w:t xml:space="preserve"> ECtHR </w:t>
      </w:r>
      <w:r w:rsidRPr="00CB4109">
        <w:rPr>
          <w:rFonts w:ascii="Arial" w:hAnsi="Arial" w:cs="Arial"/>
          <w:color w:val="000000" w:themeColor="text1"/>
        </w:rPr>
        <w:t>Application No 37598/97 (ECHR, 20 July 2004).</w:t>
      </w:r>
    </w:p>
  </w:footnote>
  <w:footnote w:id="59">
    <w:p w14:paraId="55FD737E" w14:textId="37ADD5D8" w:rsidR="00E71EB2" w:rsidRPr="00CB4109" w:rsidRDefault="00E71EB2" w:rsidP="004832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0"/>
          <w:szCs w:val="20"/>
        </w:rPr>
      </w:pPr>
      <w:r w:rsidRPr="00CB4109">
        <w:rPr>
          <w:rStyle w:val="FootnoteReference"/>
          <w:rFonts w:ascii="Arial" w:hAnsi="Arial" w:cs="Arial"/>
          <w:sz w:val="20"/>
          <w:szCs w:val="20"/>
        </w:rPr>
        <w:footnoteRef/>
      </w:r>
      <w:r w:rsidRPr="00CB4109">
        <w:rPr>
          <w:rFonts w:ascii="Arial" w:hAnsi="Arial" w:cs="Arial"/>
          <w:sz w:val="20"/>
          <w:szCs w:val="20"/>
        </w:rPr>
        <w:t xml:space="preserve"> The </w:t>
      </w:r>
      <w:r w:rsidRPr="00CB4109">
        <w:rPr>
          <w:rFonts w:ascii="Arial" w:hAnsi="Arial" w:cs="Arial"/>
          <w:i/>
          <w:sz w:val="20"/>
          <w:szCs w:val="20"/>
        </w:rPr>
        <w:t>Explanations</w:t>
      </w:r>
      <w:r w:rsidRPr="00CB4109">
        <w:rPr>
          <w:rFonts w:ascii="Arial" w:hAnsi="Arial" w:cs="Arial"/>
          <w:sz w:val="20"/>
          <w:szCs w:val="20"/>
        </w:rPr>
        <w:t xml:space="preserve"> state that Paragraph 1 draws on Article 13 of the EC Treaty, now replaced by Article 19 TFEU, Article 14 ECHR and Article 11 of the Convention on Human Rights and Biomedicine.</w:t>
      </w:r>
    </w:p>
  </w:footnote>
  <w:footnote w:id="60">
    <w:p w14:paraId="7D80E330" w14:textId="62F43747" w:rsidR="00E71EB2" w:rsidRPr="00CB4109" w:rsidRDefault="00E71EB2" w:rsidP="0048325B">
      <w:pPr>
        <w:spacing w:after="0" w:line="240" w:lineRule="auto"/>
        <w:rPr>
          <w:rFonts w:ascii="Arial" w:eastAsia="Times New Roman" w:hAnsi="Arial" w:cs="Arial"/>
          <w:sz w:val="20"/>
          <w:szCs w:val="20"/>
        </w:rPr>
      </w:pPr>
      <w:r w:rsidRPr="00CB4109">
        <w:rPr>
          <w:rStyle w:val="FootnoteReference"/>
          <w:rFonts w:ascii="Arial" w:hAnsi="Arial" w:cs="Arial"/>
          <w:sz w:val="20"/>
          <w:szCs w:val="20"/>
        </w:rPr>
        <w:footnoteRef/>
      </w:r>
      <w:r w:rsidRPr="00CB4109">
        <w:rPr>
          <w:rFonts w:ascii="Arial" w:hAnsi="Arial" w:cs="Arial"/>
          <w:sz w:val="20"/>
          <w:szCs w:val="20"/>
        </w:rPr>
        <w:t xml:space="preserve"> </w:t>
      </w:r>
      <w:r w:rsidRPr="00CB4109">
        <w:rPr>
          <w:rFonts w:ascii="Arial" w:hAnsi="Arial" w:cs="Arial"/>
          <w:sz w:val="20"/>
          <w:szCs w:val="20"/>
          <w:lang w:val="en-US"/>
        </w:rPr>
        <w:t xml:space="preserve">UN Doc. </w:t>
      </w:r>
      <w:r w:rsidRPr="00CB4109">
        <w:rPr>
          <w:rFonts w:ascii="Arial" w:eastAsia="Times New Roman" w:hAnsi="Arial" w:cs="Arial"/>
          <w:sz w:val="20"/>
          <w:szCs w:val="20"/>
        </w:rPr>
        <w:t xml:space="preserve">CRC/C/IRL/CO/3-4. See </w:t>
      </w:r>
      <w:hyperlink r:id="rId21" w:history="1">
        <w:r w:rsidRPr="00CB4109">
          <w:rPr>
            <w:rStyle w:val="Hyperlink"/>
            <w:rFonts w:ascii="Arial" w:eastAsia="Times New Roman" w:hAnsi="Arial" w:cs="Arial"/>
            <w:sz w:val="20"/>
            <w:szCs w:val="20"/>
          </w:rPr>
          <w:t>https://documents-dds-ny.un.org/doc/UNDOC/GEN/G16/039/97/PDF/G1603997.pdf?OpenElement</w:t>
        </w:r>
      </w:hyperlink>
    </w:p>
  </w:footnote>
  <w:footnote w:id="61">
    <w:p w14:paraId="13EAAD59" w14:textId="20D81387" w:rsidR="00E71EB2" w:rsidRPr="00CB4109" w:rsidRDefault="00E71EB2" w:rsidP="0048325B">
      <w:pPr>
        <w:pStyle w:val="FootnoteText"/>
        <w:rPr>
          <w:rFonts w:ascii="Arial" w:hAnsi="Arial" w:cs="Arial"/>
          <w:lang w:val="en-US"/>
        </w:rPr>
      </w:pPr>
      <w:r w:rsidRPr="00CB4109">
        <w:rPr>
          <w:rStyle w:val="FootnoteReference"/>
          <w:rFonts w:ascii="Arial" w:hAnsi="Arial" w:cs="Arial"/>
        </w:rPr>
        <w:footnoteRef/>
      </w:r>
      <w:r w:rsidRPr="00CB4109">
        <w:rPr>
          <w:rFonts w:ascii="Arial" w:hAnsi="Arial" w:cs="Arial"/>
        </w:rPr>
        <w:t xml:space="preserve"> </w:t>
      </w:r>
      <w:r w:rsidRPr="00CB4109">
        <w:rPr>
          <w:rFonts w:ascii="Arial" w:hAnsi="Arial" w:cs="Arial"/>
          <w:i/>
          <w:lang w:val="en-US"/>
        </w:rPr>
        <w:t>Ibid</w:t>
      </w:r>
      <w:r w:rsidRPr="00CB4109">
        <w:rPr>
          <w:rFonts w:ascii="Arial" w:hAnsi="Arial" w:cs="Arial"/>
          <w:lang w:val="en-US"/>
        </w:rPr>
        <w:t>, para 30.</w:t>
      </w:r>
    </w:p>
  </w:footnote>
  <w:footnote w:id="62">
    <w:p w14:paraId="694E3CAB" w14:textId="1C71E003" w:rsidR="00E71EB2" w:rsidRPr="00CB4109" w:rsidRDefault="00E71EB2" w:rsidP="0048325B">
      <w:pPr>
        <w:pStyle w:val="FootnoteText"/>
        <w:rPr>
          <w:rFonts w:ascii="Arial" w:hAnsi="Arial" w:cs="Arial"/>
          <w:lang w:val="en-US"/>
        </w:rPr>
      </w:pPr>
      <w:r w:rsidRPr="00CB4109">
        <w:rPr>
          <w:rStyle w:val="FootnoteReference"/>
          <w:rFonts w:ascii="Arial" w:hAnsi="Arial" w:cs="Arial"/>
        </w:rPr>
        <w:footnoteRef/>
      </w:r>
      <w:r w:rsidRPr="00CB4109">
        <w:rPr>
          <w:rFonts w:ascii="Arial" w:hAnsi="Arial" w:cs="Arial"/>
        </w:rPr>
        <w:t xml:space="preserve"> </w:t>
      </w:r>
      <w:r w:rsidRPr="00CB4109">
        <w:rPr>
          <w:rFonts w:ascii="Arial" w:hAnsi="Arial" w:cs="Arial"/>
          <w:i/>
          <w:lang w:val="en-US"/>
        </w:rPr>
        <w:t>Ibid,</w:t>
      </w:r>
      <w:r w:rsidRPr="00CB4109">
        <w:rPr>
          <w:rFonts w:ascii="Arial" w:hAnsi="Arial" w:cs="Arial"/>
          <w:lang w:val="en-US"/>
        </w:rPr>
        <w:t xml:space="preserve"> paras 61/62.</w:t>
      </w:r>
    </w:p>
  </w:footnote>
  <w:footnote w:id="63">
    <w:p w14:paraId="42F3BCCA" w14:textId="678DD899" w:rsidR="00E71EB2" w:rsidRPr="00CB4109" w:rsidRDefault="00E71EB2" w:rsidP="0048325B">
      <w:pPr>
        <w:pStyle w:val="FootnoteText"/>
        <w:rPr>
          <w:rFonts w:ascii="Arial" w:hAnsi="Arial" w:cs="Arial"/>
          <w:lang w:val="en-US"/>
        </w:rPr>
      </w:pPr>
      <w:r w:rsidRPr="00CB4109">
        <w:rPr>
          <w:rStyle w:val="FootnoteReference"/>
          <w:rFonts w:ascii="Arial" w:hAnsi="Arial" w:cs="Arial"/>
        </w:rPr>
        <w:footnoteRef/>
      </w:r>
      <w:r w:rsidRPr="00CB4109">
        <w:rPr>
          <w:rFonts w:ascii="Arial" w:hAnsi="Arial" w:cs="Arial"/>
        </w:rPr>
        <w:t xml:space="preserve"> UN Doc. A/61/611.</w:t>
      </w:r>
    </w:p>
  </w:footnote>
  <w:footnote w:id="64">
    <w:p w14:paraId="325D0417" w14:textId="2402CED9" w:rsidR="00E71EB2" w:rsidRPr="00CB4109" w:rsidRDefault="00E71EB2" w:rsidP="0048325B">
      <w:pPr>
        <w:widowControl w:val="0"/>
        <w:autoSpaceDE w:val="0"/>
        <w:autoSpaceDN w:val="0"/>
        <w:adjustRightInd w:val="0"/>
        <w:spacing w:after="0" w:line="240" w:lineRule="auto"/>
        <w:rPr>
          <w:rFonts w:ascii="Arial" w:hAnsi="Arial" w:cs="Arial"/>
          <w:sz w:val="20"/>
          <w:szCs w:val="20"/>
          <w:lang w:val="en-US"/>
        </w:rPr>
      </w:pPr>
      <w:r w:rsidRPr="00CB4109">
        <w:rPr>
          <w:rStyle w:val="FootnoteReference"/>
          <w:rFonts w:ascii="Arial" w:hAnsi="Arial" w:cs="Arial"/>
          <w:sz w:val="20"/>
          <w:szCs w:val="20"/>
        </w:rPr>
        <w:footnoteRef/>
      </w:r>
      <w:r w:rsidRPr="00CB4109">
        <w:rPr>
          <w:rFonts w:ascii="Arial" w:hAnsi="Arial" w:cs="Arial"/>
          <w:sz w:val="20"/>
          <w:szCs w:val="20"/>
        </w:rPr>
        <w:t xml:space="preserve"> See </w:t>
      </w:r>
      <w:r w:rsidRPr="00CB4109">
        <w:rPr>
          <w:rFonts w:ascii="Arial" w:hAnsi="Arial" w:cs="Arial"/>
          <w:sz w:val="20"/>
          <w:szCs w:val="20"/>
          <w:lang w:val="en-US"/>
        </w:rPr>
        <w:t>Council Decision 2010/48/EC concerning the conclusion, by the EU of the UN Convention on the Rights of Persons with Disabilities, which contains in Annex III a reservation with respect to Article 27(1) of the CRPD. However, there is a dearth of binding legal obligations in this area.</w:t>
      </w:r>
    </w:p>
  </w:footnote>
  <w:footnote w:id="65">
    <w:p w14:paraId="18DFB6DF" w14:textId="28B8C734" w:rsidR="00E71EB2" w:rsidRPr="00CB4109" w:rsidRDefault="00E71EB2" w:rsidP="0048325B">
      <w:pPr>
        <w:tabs>
          <w:tab w:val="left" w:pos="-720"/>
          <w:tab w:val="left" w:pos="0"/>
          <w:tab w:val="left" w:pos="432"/>
          <w:tab w:val="left" w:pos="864"/>
          <w:tab w:val="left" w:pos="1167"/>
          <w:tab w:val="left" w:pos="1296"/>
          <w:tab w:val="left" w:pos="1728"/>
          <w:tab w:val="left" w:pos="2031"/>
          <w:tab w:val="left" w:pos="2126"/>
          <w:tab w:val="left" w:pos="2880"/>
        </w:tabs>
        <w:spacing w:after="0" w:line="240" w:lineRule="auto"/>
        <w:jc w:val="both"/>
        <w:rPr>
          <w:rFonts w:ascii="Arial" w:hAnsi="Arial" w:cs="Arial"/>
          <w:sz w:val="20"/>
          <w:szCs w:val="20"/>
        </w:rPr>
      </w:pPr>
      <w:r w:rsidRPr="00CB4109">
        <w:rPr>
          <w:rStyle w:val="FootnoteReference"/>
          <w:rFonts w:ascii="Arial" w:hAnsi="Arial" w:cs="Arial"/>
          <w:sz w:val="20"/>
          <w:szCs w:val="20"/>
        </w:rPr>
        <w:footnoteRef/>
      </w:r>
      <w:r w:rsidRPr="00CB4109">
        <w:rPr>
          <w:rFonts w:ascii="Arial" w:hAnsi="Arial" w:cs="Arial"/>
          <w:sz w:val="20"/>
          <w:szCs w:val="20"/>
        </w:rPr>
        <w:t xml:space="preserve"> The </w:t>
      </w:r>
      <w:r w:rsidRPr="00CB4109">
        <w:rPr>
          <w:rFonts w:ascii="Arial" w:hAnsi="Arial" w:cs="Arial"/>
          <w:i/>
          <w:sz w:val="20"/>
          <w:szCs w:val="20"/>
        </w:rPr>
        <w:t>Explanations</w:t>
      </w:r>
      <w:r w:rsidRPr="00CB4109">
        <w:rPr>
          <w:rFonts w:ascii="Arial" w:hAnsi="Arial" w:cs="Arial"/>
          <w:sz w:val="20"/>
          <w:szCs w:val="20"/>
        </w:rPr>
        <w:t xml:space="preserve"> state that “Article 33(1) is based on Article 16 of the European Social </w:t>
      </w:r>
    </w:p>
    <w:p w14:paraId="5977396A" w14:textId="76464529" w:rsidR="00E71EB2" w:rsidRPr="00CB4109" w:rsidRDefault="00E71EB2" w:rsidP="0048325B">
      <w:pPr>
        <w:tabs>
          <w:tab w:val="left" w:pos="-720"/>
          <w:tab w:val="left" w:pos="0"/>
          <w:tab w:val="left" w:pos="432"/>
          <w:tab w:val="left" w:pos="864"/>
          <w:tab w:val="left" w:pos="1167"/>
          <w:tab w:val="left" w:pos="1296"/>
          <w:tab w:val="left" w:pos="1728"/>
          <w:tab w:val="left" w:pos="2031"/>
          <w:tab w:val="left" w:pos="2126"/>
          <w:tab w:val="left" w:pos="2880"/>
        </w:tabs>
        <w:spacing w:after="0" w:line="240" w:lineRule="auto"/>
        <w:jc w:val="both"/>
        <w:rPr>
          <w:rFonts w:ascii="Arial" w:hAnsi="Arial" w:cs="Arial"/>
          <w:spacing w:val="-2"/>
          <w:kern w:val="2"/>
          <w:sz w:val="20"/>
          <w:szCs w:val="20"/>
        </w:rPr>
      </w:pPr>
      <w:r w:rsidRPr="00CB4109">
        <w:rPr>
          <w:rFonts w:ascii="Arial" w:hAnsi="Arial" w:cs="Arial"/>
          <w:sz w:val="20"/>
          <w:szCs w:val="20"/>
        </w:rPr>
        <w:t xml:space="preserve">Charter. </w:t>
      </w:r>
      <w:r w:rsidRPr="00CB4109">
        <w:rPr>
          <w:rFonts w:ascii="Arial" w:hAnsi="Arial" w:cs="Arial"/>
          <w:spacing w:val="-2"/>
          <w:kern w:val="2"/>
          <w:sz w:val="20"/>
          <w:szCs w:val="20"/>
        </w:rPr>
        <w:t xml:space="preserve">Article 16 of the ESC on the right of the family to social, legal and economic protection states: </w:t>
      </w:r>
    </w:p>
    <w:p w14:paraId="4DE27E62" w14:textId="77777777" w:rsidR="00E71EB2" w:rsidRPr="00CB4109" w:rsidRDefault="00E71EB2" w:rsidP="0048325B">
      <w:pPr>
        <w:tabs>
          <w:tab w:val="left" w:pos="-720"/>
          <w:tab w:val="left" w:pos="0"/>
          <w:tab w:val="left" w:pos="432"/>
          <w:tab w:val="left" w:pos="864"/>
          <w:tab w:val="left" w:pos="1167"/>
          <w:tab w:val="left" w:pos="1296"/>
          <w:tab w:val="left" w:pos="1728"/>
          <w:tab w:val="left" w:pos="2031"/>
          <w:tab w:val="left" w:pos="2126"/>
          <w:tab w:val="left" w:pos="2880"/>
        </w:tabs>
        <w:spacing w:after="0" w:line="240" w:lineRule="auto"/>
        <w:jc w:val="both"/>
        <w:rPr>
          <w:rFonts w:ascii="Arial" w:hAnsi="Arial" w:cs="Arial"/>
          <w:i/>
          <w:spacing w:val="-2"/>
          <w:kern w:val="2"/>
          <w:sz w:val="20"/>
          <w:szCs w:val="20"/>
        </w:rPr>
      </w:pPr>
      <w:r w:rsidRPr="00CB4109">
        <w:rPr>
          <w:rFonts w:ascii="Arial" w:hAnsi="Arial" w:cs="Arial"/>
          <w:spacing w:val="-2"/>
          <w:kern w:val="2"/>
          <w:sz w:val="20"/>
          <w:szCs w:val="20"/>
        </w:rPr>
        <w:t>“</w:t>
      </w:r>
      <w:r w:rsidRPr="00CB4109">
        <w:rPr>
          <w:rFonts w:ascii="Arial" w:hAnsi="Arial" w:cs="Arial"/>
          <w:i/>
          <w:spacing w:val="-2"/>
          <w:kern w:val="2"/>
          <w:sz w:val="20"/>
          <w:szCs w:val="20"/>
        </w:rPr>
        <w:t xml:space="preserve">With a view to ensuring the necessary conditions for the full development of the family, which is a </w:t>
      </w:r>
    </w:p>
    <w:p w14:paraId="05175E81" w14:textId="77777777" w:rsidR="00E71EB2" w:rsidRPr="00CB4109" w:rsidRDefault="00E71EB2" w:rsidP="0048325B">
      <w:pPr>
        <w:tabs>
          <w:tab w:val="left" w:pos="-720"/>
          <w:tab w:val="left" w:pos="0"/>
          <w:tab w:val="left" w:pos="432"/>
          <w:tab w:val="left" w:pos="864"/>
          <w:tab w:val="left" w:pos="1167"/>
          <w:tab w:val="left" w:pos="1296"/>
          <w:tab w:val="left" w:pos="1728"/>
          <w:tab w:val="left" w:pos="2031"/>
          <w:tab w:val="left" w:pos="2126"/>
          <w:tab w:val="left" w:pos="2880"/>
        </w:tabs>
        <w:spacing w:after="0" w:line="240" w:lineRule="auto"/>
        <w:jc w:val="both"/>
        <w:rPr>
          <w:rFonts w:ascii="Arial" w:hAnsi="Arial" w:cs="Arial"/>
          <w:i/>
          <w:spacing w:val="-2"/>
          <w:kern w:val="2"/>
          <w:sz w:val="20"/>
          <w:szCs w:val="20"/>
        </w:rPr>
      </w:pPr>
      <w:r w:rsidRPr="00CB4109">
        <w:rPr>
          <w:rFonts w:ascii="Arial" w:hAnsi="Arial" w:cs="Arial"/>
          <w:i/>
          <w:spacing w:val="-2"/>
          <w:kern w:val="2"/>
          <w:sz w:val="20"/>
          <w:szCs w:val="20"/>
        </w:rPr>
        <w:t>fundamen</w:t>
      </w:r>
      <w:r w:rsidRPr="00CB4109">
        <w:rPr>
          <w:rFonts w:ascii="Arial" w:hAnsi="Arial" w:cs="Arial"/>
          <w:i/>
          <w:spacing w:val="-2"/>
          <w:kern w:val="2"/>
          <w:sz w:val="20"/>
          <w:szCs w:val="20"/>
        </w:rPr>
        <w:softHyphen/>
        <w:t>tal unit of society, the Contracting Parties under</w:t>
      </w:r>
      <w:r w:rsidRPr="00CB4109">
        <w:rPr>
          <w:rFonts w:ascii="Arial" w:hAnsi="Arial" w:cs="Arial"/>
          <w:i/>
          <w:spacing w:val="-2"/>
          <w:kern w:val="2"/>
          <w:sz w:val="20"/>
          <w:szCs w:val="20"/>
        </w:rPr>
        <w:softHyphen/>
        <w:t xml:space="preserve">take to promote the economic, legal and social </w:t>
      </w:r>
    </w:p>
    <w:p w14:paraId="6C9139BA" w14:textId="77777777" w:rsidR="00E71EB2" w:rsidRPr="00CB4109" w:rsidRDefault="00E71EB2" w:rsidP="0048325B">
      <w:pPr>
        <w:tabs>
          <w:tab w:val="left" w:pos="-720"/>
          <w:tab w:val="left" w:pos="0"/>
          <w:tab w:val="left" w:pos="432"/>
          <w:tab w:val="left" w:pos="864"/>
          <w:tab w:val="left" w:pos="1167"/>
          <w:tab w:val="left" w:pos="1296"/>
          <w:tab w:val="left" w:pos="1728"/>
          <w:tab w:val="left" w:pos="2031"/>
          <w:tab w:val="left" w:pos="2126"/>
          <w:tab w:val="left" w:pos="2880"/>
        </w:tabs>
        <w:spacing w:after="0" w:line="240" w:lineRule="auto"/>
        <w:jc w:val="both"/>
        <w:rPr>
          <w:rFonts w:ascii="Arial" w:hAnsi="Arial" w:cs="Arial"/>
          <w:i/>
          <w:spacing w:val="-2"/>
          <w:kern w:val="2"/>
          <w:sz w:val="20"/>
          <w:szCs w:val="20"/>
        </w:rPr>
      </w:pPr>
      <w:r w:rsidRPr="00CB4109">
        <w:rPr>
          <w:rFonts w:ascii="Arial" w:hAnsi="Arial" w:cs="Arial"/>
          <w:i/>
          <w:spacing w:val="-2"/>
          <w:kern w:val="2"/>
          <w:sz w:val="20"/>
          <w:szCs w:val="20"/>
        </w:rPr>
        <w:t xml:space="preserve">protection of family life by such means as social and family benefits, fiscal arrangements, provision of </w:t>
      </w:r>
    </w:p>
    <w:p w14:paraId="1A607D9F" w14:textId="77777777" w:rsidR="00E71EB2" w:rsidRPr="00CB4109" w:rsidRDefault="00E71EB2" w:rsidP="0048325B">
      <w:pPr>
        <w:tabs>
          <w:tab w:val="left" w:pos="-720"/>
          <w:tab w:val="left" w:pos="0"/>
          <w:tab w:val="left" w:pos="432"/>
          <w:tab w:val="left" w:pos="864"/>
          <w:tab w:val="left" w:pos="1167"/>
          <w:tab w:val="left" w:pos="1296"/>
          <w:tab w:val="left" w:pos="1728"/>
          <w:tab w:val="left" w:pos="2031"/>
          <w:tab w:val="left" w:pos="2126"/>
          <w:tab w:val="left" w:pos="2880"/>
        </w:tabs>
        <w:spacing w:after="0" w:line="240" w:lineRule="auto"/>
        <w:jc w:val="both"/>
        <w:rPr>
          <w:rFonts w:ascii="Arial" w:hAnsi="Arial" w:cs="Arial"/>
          <w:i/>
          <w:sz w:val="20"/>
          <w:szCs w:val="20"/>
        </w:rPr>
      </w:pPr>
      <w:r w:rsidRPr="00CB4109">
        <w:rPr>
          <w:rFonts w:ascii="Arial" w:hAnsi="Arial" w:cs="Arial"/>
          <w:i/>
          <w:kern w:val="2"/>
          <w:sz w:val="20"/>
          <w:szCs w:val="20"/>
        </w:rPr>
        <w:t>family housing, benefits for the newly married, and other appropri</w:t>
      </w:r>
      <w:r w:rsidRPr="00CB4109">
        <w:rPr>
          <w:rFonts w:ascii="Arial" w:hAnsi="Arial" w:cs="Arial"/>
          <w:i/>
          <w:kern w:val="2"/>
          <w:sz w:val="20"/>
          <w:szCs w:val="20"/>
        </w:rPr>
        <w:softHyphen/>
        <w:t xml:space="preserve">ate means.” </w:t>
      </w:r>
    </w:p>
  </w:footnote>
  <w:footnote w:id="66">
    <w:p w14:paraId="7C7BD34B" w14:textId="77777777" w:rsidR="00E71EB2" w:rsidRPr="00CB4109" w:rsidRDefault="00E71EB2" w:rsidP="0048325B">
      <w:pPr>
        <w:pStyle w:val="FootnoteText"/>
        <w:rPr>
          <w:rFonts w:ascii="Arial" w:hAnsi="Arial" w:cs="Arial"/>
          <w:lang w:val="en-US"/>
        </w:rPr>
      </w:pPr>
      <w:r w:rsidRPr="00CB4109">
        <w:rPr>
          <w:rStyle w:val="FootnoteReference"/>
          <w:rFonts w:ascii="Arial" w:hAnsi="Arial" w:cs="Arial"/>
        </w:rPr>
        <w:footnoteRef/>
      </w:r>
      <w:r w:rsidRPr="00CB4109">
        <w:rPr>
          <w:rFonts w:ascii="Arial" w:hAnsi="Arial" w:cs="Arial"/>
        </w:rPr>
        <w:t xml:space="preserve"> </w:t>
      </w:r>
      <w:r w:rsidRPr="00CB4109">
        <w:rPr>
          <w:rFonts w:ascii="Arial" w:hAnsi="Arial" w:cs="Arial"/>
          <w:i/>
        </w:rPr>
        <w:t>ERRC v. Greece</w:t>
      </w:r>
      <w:r w:rsidRPr="00CB4109">
        <w:rPr>
          <w:rFonts w:ascii="Arial" w:hAnsi="Arial" w:cs="Arial"/>
        </w:rPr>
        <w:t>, Complaint No. 15/2003, decision on the merits of 8 December 2004, para 24.</w:t>
      </w:r>
    </w:p>
  </w:footnote>
  <w:footnote w:id="67">
    <w:p w14:paraId="79273FC5" w14:textId="49BB550C" w:rsidR="00E71EB2" w:rsidRPr="00CB4109" w:rsidRDefault="00E71EB2" w:rsidP="0048325B">
      <w:pPr>
        <w:pStyle w:val="FootnoteText"/>
        <w:rPr>
          <w:rFonts w:ascii="Arial" w:hAnsi="Arial" w:cs="Arial"/>
          <w:lang w:val="en-US"/>
        </w:rPr>
      </w:pPr>
      <w:r w:rsidRPr="00CB4109">
        <w:rPr>
          <w:rStyle w:val="FootnoteReference"/>
          <w:rFonts w:ascii="Arial" w:hAnsi="Arial" w:cs="Arial"/>
        </w:rPr>
        <w:footnoteRef/>
      </w:r>
      <w:r w:rsidRPr="00CB4109">
        <w:rPr>
          <w:rFonts w:ascii="Arial" w:hAnsi="Arial" w:cs="Arial"/>
        </w:rPr>
        <w:t xml:space="preserve"> See </w:t>
      </w:r>
      <w:r w:rsidRPr="00CB4109">
        <w:rPr>
          <w:rFonts w:ascii="Arial" w:eastAsia="Times New Roman" w:hAnsi="Arial" w:cs="Arial"/>
          <w:bCs/>
          <w:color w:val="000000" w:themeColor="text1"/>
        </w:rPr>
        <w:t xml:space="preserve">Benöhr, I. (2013) </w:t>
      </w:r>
      <w:r w:rsidRPr="00CB4109">
        <w:rPr>
          <w:rFonts w:ascii="Arial" w:eastAsia="Times New Roman" w:hAnsi="Arial" w:cs="Arial"/>
          <w:bCs/>
          <w:i/>
          <w:color w:val="000000" w:themeColor="text1"/>
        </w:rPr>
        <w:t>EU Consumer Law and Human Rights</w:t>
      </w:r>
      <w:r w:rsidRPr="00CB4109">
        <w:rPr>
          <w:rFonts w:ascii="Arial" w:eastAsia="Times New Roman" w:hAnsi="Arial" w:cs="Arial"/>
          <w:bCs/>
          <w:color w:val="000000" w:themeColor="text1"/>
        </w:rPr>
        <w:t xml:space="preserve"> (OUP), p. 125.</w:t>
      </w:r>
    </w:p>
  </w:footnote>
  <w:footnote w:id="68">
    <w:p w14:paraId="35862EDD" w14:textId="023B763C" w:rsidR="00E71EB2" w:rsidRPr="00CB4109" w:rsidRDefault="00E71EB2" w:rsidP="004832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szCs w:val="20"/>
        </w:rPr>
      </w:pPr>
      <w:r w:rsidRPr="00CB4109">
        <w:rPr>
          <w:rStyle w:val="FootnoteReference"/>
          <w:rFonts w:ascii="Arial" w:hAnsi="Arial" w:cs="Arial"/>
          <w:color w:val="000000"/>
          <w:sz w:val="20"/>
          <w:szCs w:val="20"/>
        </w:rPr>
        <w:footnoteRef/>
      </w:r>
      <w:r w:rsidRPr="00CB4109">
        <w:rPr>
          <w:rFonts w:ascii="Arial" w:hAnsi="Arial" w:cs="Arial"/>
          <w:color w:val="000000"/>
          <w:sz w:val="20"/>
          <w:szCs w:val="20"/>
        </w:rPr>
        <w:t xml:space="preserve"> </w:t>
      </w:r>
      <w:r w:rsidRPr="00CB4109">
        <w:rPr>
          <w:rFonts w:ascii="Arial" w:hAnsi="Arial" w:cs="Arial"/>
          <w:i/>
          <w:color w:val="000000"/>
          <w:sz w:val="20"/>
          <w:szCs w:val="20"/>
        </w:rPr>
        <w:t xml:space="preserve">Charter of Fundamental Rights of the European Union, </w:t>
      </w:r>
      <w:r w:rsidRPr="00CB4109">
        <w:rPr>
          <w:rFonts w:ascii="Arial" w:hAnsi="Arial" w:cs="Arial"/>
          <w:color w:val="000000"/>
          <w:sz w:val="20"/>
          <w:szCs w:val="20"/>
        </w:rPr>
        <w:t xml:space="preserve">Art. 34(3) </w:t>
      </w:r>
      <w:r w:rsidRPr="00CB4109">
        <w:rPr>
          <w:rFonts w:ascii="Arial" w:hAnsi="Arial" w:cs="Arial"/>
          <w:sz w:val="20"/>
          <w:szCs w:val="20"/>
        </w:rPr>
        <w:t>OJ 2010/C 83/02.</w:t>
      </w:r>
    </w:p>
  </w:footnote>
  <w:footnote w:id="69">
    <w:p w14:paraId="630590D5" w14:textId="208517CF" w:rsidR="00E71EB2" w:rsidRPr="00CB4109" w:rsidRDefault="00E71EB2" w:rsidP="0048325B">
      <w:pPr>
        <w:pStyle w:val="FootnoteText"/>
        <w:rPr>
          <w:rFonts w:ascii="Arial" w:hAnsi="Arial" w:cs="Arial"/>
        </w:rPr>
      </w:pPr>
      <w:r w:rsidRPr="00CB4109">
        <w:rPr>
          <w:rStyle w:val="FootnoteReference"/>
          <w:rFonts w:ascii="Arial" w:hAnsi="Arial" w:cs="Arial"/>
        </w:rPr>
        <w:footnoteRef/>
      </w:r>
      <w:r w:rsidRPr="00CB4109">
        <w:rPr>
          <w:rFonts w:ascii="Arial" w:hAnsi="Arial" w:cs="Arial"/>
        </w:rPr>
        <w:t xml:space="preserve"> See </w:t>
      </w:r>
      <w:r w:rsidRPr="00CB4109">
        <w:rPr>
          <w:rFonts w:ascii="Arial" w:hAnsi="Arial" w:cs="Arial"/>
          <w:i/>
        </w:rPr>
        <w:t>Digest of the Case Law of the European Committee of Social Rights</w:t>
      </w:r>
      <w:r w:rsidRPr="00CB4109">
        <w:rPr>
          <w:rFonts w:ascii="Arial" w:hAnsi="Arial" w:cs="Arial"/>
        </w:rPr>
        <w:t xml:space="preserve"> at: </w:t>
      </w:r>
      <w:hyperlink r:id="rId22" w:history="1">
        <w:r w:rsidRPr="00CB4109">
          <w:rPr>
            <w:rStyle w:val="Hyperlink"/>
            <w:rFonts w:ascii="Arial" w:hAnsi="Arial" w:cs="Arial"/>
          </w:rPr>
          <w:t>https://rm.coe.int/CoERMPublicCommonSearchServices/DisplayDCTMContent?documentId=090000168049159f</w:t>
        </w:r>
      </w:hyperlink>
    </w:p>
  </w:footnote>
  <w:footnote w:id="70">
    <w:p w14:paraId="0C8763DE" w14:textId="3F6F33C4" w:rsidR="00E71EB2" w:rsidRPr="00CB4109" w:rsidRDefault="00E71EB2" w:rsidP="0048325B">
      <w:pPr>
        <w:pStyle w:val="FootnoteText"/>
        <w:rPr>
          <w:rFonts w:ascii="Arial" w:hAnsi="Arial" w:cs="Arial"/>
          <w:lang w:val="en-US"/>
        </w:rPr>
      </w:pPr>
      <w:r w:rsidRPr="00CB4109">
        <w:rPr>
          <w:rStyle w:val="FootnoteReference"/>
          <w:rFonts w:ascii="Arial" w:hAnsi="Arial" w:cs="Arial"/>
        </w:rPr>
        <w:footnoteRef/>
      </w:r>
      <w:r w:rsidRPr="00CB4109">
        <w:rPr>
          <w:rFonts w:ascii="Arial" w:hAnsi="Arial" w:cs="Arial"/>
        </w:rPr>
        <w:t xml:space="preserve"> See Case </w:t>
      </w:r>
      <w:r w:rsidRPr="00CB4109">
        <w:rPr>
          <w:rFonts w:ascii="Arial" w:hAnsi="Arial" w:cs="Arial"/>
          <w:lang w:val="en-US"/>
        </w:rPr>
        <w:t>C-539/14</w:t>
      </w:r>
      <w:r w:rsidRPr="00CB4109">
        <w:rPr>
          <w:rFonts w:ascii="Arial" w:hAnsi="Arial" w:cs="Arial"/>
        </w:rPr>
        <w:t xml:space="preserve"> </w:t>
      </w:r>
      <w:r w:rsidRPr="00CB4109">
        <w:rPr>
          <w:rStyle w:val="affairetitle"/>
          <w:rFonts w:ascii="Arial" w:eastAsia="Times New Roman" w:hAnsi="Arial" w:cs="Arial"/>
          <w:i/>
        </w:rPr>
        <w:t>Sánchez Morcillo and Abril García</w:t>
      </w:r>
      <w:r w:rsidRPr="00CB4109">
        <w:rPr>
          <w:rFonts w:ascii="Arial" w:hAnsi="Arial" w:cs="Arial"/>
          <w:lang w:val="en-US"/>
        </w:rPr>
        <w:t xml:space="preserve"> at para 49: “In that context, it is not necessary, lastly, to rule on the interpretation of Article 7(1), of Directive 93/13, read in conjunction with Article 34(3) of the Charter that the referring court seeks. Contrary to what that court has stated, given that that provision of the Charter does not guarantee the right to housing, but rather ‘the right to social and housing assistance’ in social policies based on Article 153 TFEU, such an interpretation is not relevant for the purposes of resolving the dispute in the main proceedings.”</w:t>
      </w:r>
    </w:p>
  </w:footnote>
  <w:footnote w:id="71">
    <w:p w14:paraId="04A7BB31" w14:textId="396D1B83" w:rsidR="00E71EB2" w:rsidRPr="00CB4109" w:rsidRDefault="00E71EB2" w:rsidP="0048325B">
      <w:pPr>
        <w:pStyle w:val="FootnoteText"/>
        <w:rPr>
          <w:rFonts w:ascii="Arial" w:hAnsi="Arial" w:cs="Arial"/>
        </w:rPr>
      </w:pPr>
      <w:r w:rsidRPr="00CB4109">
        <w:rPr>
          <w:rStyle w:val="FootnoteReference"/>
          <w:rFonts w:ascii="Arial" w:hAnsi="Arial" w:cs="Arial"/>
        </w:rPr>
        <w:footnoteRef/>
      </w:r>
      <w:r w:rsidRPr="00CB4109">
        <w:rPr>
          <w:rFonts w:ascii="Arial" w:hAnsi="Arial" w:cs="Arial"/>
        </w:rPr>
        <w:t xml:space="preserve"> See Case 571/10 </w:t>
      </w:r>
      <w:r w:rsidRPr="00CB4109">
        <w:rPr>
          <w:rFonts w:ascii="Arial" w:hAnsi="Arial" w:cs="Arial"/>
          <w:i/>
        </w:rPr>
        <w:t xml:space="preserve">Servet Kamberaj v Istituto per l'Edilizia sociale della Provincia autonoma di Bolzano (IPES) and Others, </w:t>
      </w:r>
      <w:r w:rsidRPr="00CB4109">
        <w:rPr>
          <w:rFonts w:ascii="Arial" w:hAnsi="Arial" w:cs="Arial"/>
        </w:rPr>
        <w:t xml:space="preserve">para 80. This case related to the withdrawal of housing benefits for an Albanian citizen who had been resident in Italy, and was able to seek the protection of </w:t>
      </w:r>
      <w:r w:rsidRPr="00CB4109">
        <w:rPr>
          <w:rStyle w:val="Strong"/>
          <w:rFonts w:ascii="Arial" w:eastAsia="Times New Roman" w:hAnsi="Arial" w:cs="Arial"/>
          <w:b w:val="0"/>
        </w:rPr>
        <w:t>Directive 2003/109/EC of 25 November 2003 concerning the status of third-country nationals who are long-term residents.</w:t>
      </w:r>
    </w:p>
  </w:footnote>
  <w:footnote w:id="72">
    <w:p w14:paraId="12B19D27" w14:textId="77777777" w:rsidR="00E71EB2" w:rsidRPr="00CB4109" w:rsidRDefault="00E71EB2" w:rsidP="0048325B">
      <w:pPr>
        <w:pStyle w:val="FootnoteText"/>
        <w:rPr>
          <w:rFonts w:ascii="Arial" w:hAnsi="Arial" w:cs="Arial"/>
        </w:rPr>
      </w:pPr>
      <w:r w:rsidRPr="00CB4109">
        <w:rPr>
          <w:rStyle w:val="FootnoteReference"/>
          <w:rFonts w:ascii="Arial" w:hAnsi="Arial" w:cs="Arial"/>
        </w:rPr>
        <w:footnoteRef/>
      </w:r>
      <w:r w:rsidRPr="00CB4109">
        <w:rPr>
          <w:rFonts w:ascii="Arial" w:hAnsi="Arial" w:cs="Arial"/>
        </w:rPr>
        <w:t xml:space="preserve"> The view of Advocate General Sharpston in </w:t>
      </w:r>
      <w:r w:rsidRPr="00CB4109">
        <w:rPr>
          <w:rFonts w:ascii="Arial" w:hAnsi="Arial" w:cs="Arial"/>
          <w:i/>
        </w:rPr>
        <w:t>Ruiz Zambrano</w:t>
      </w:r>
      <w:r w:rsidRPr="00CB4109">
        <w:rPr>
          <w:rFonts w:ascii="Arial" w:hAnsi="Arial" w:cs="Arial"/>
        </w:rPr>
        <w:t xml:space="preserve"> is explored by Xavier Groussot </w:t>
      </w:r>
      <w:r w:rsidRPr="00CB4109">
        <w:rPr>
          <w:rFonts w:ascii="Arial" w:hAnsi="Arial" w:cs="Arial"/>
          <w:i/>
        </w:rPr>
        <w:t>et al,</w:t>
      </w:r>
      <w:r w:rsidRPr="00CB4109">
        <w:rPr>
          <w:rFonts w:ascii="Arial" w:hAnsi="Arial" w:cs="Arial"/>
        </w:rPr>
        <w:t xml:space="preserve"> ‘The Scope of Application of Fundamental Rights on Member States’ Action: In search of Certainty in EU Adjudication,’ Eric Stein Working Paper No 1/2011.</w:t>
      </w:r>
    </w:p>
  </w:footnote>
  <w:footnote w:id="73">
    <w:p w14:paraId="506F6B27" w14:textId="5A2022BB" w:rsidR="00E71EB2" w:rsidRPr="00CB4109" w:rsidRDefault="00E71EB2" w:rsidP="0048325B">
      <w:pPr>
        <w:pStyle w:val="FootnoteText"/>
        <w:rPr>
          <w:rFonts w:ascii="Arial" w:hAnsi="Arial" w:cs="Arial"/>
          <w:lang w:val="en-US"/>
        </w:rPr>
      </w:pPr>
      <w:r w:rsidRPr="00CB4109">
        <w:rPr>
          <w:rStyle w:val="FootnoteReference"/>
          <w:rFonts w:ascii="Arial" w:hAnsi="Arial" w:cs="Arial"/>
        </w:rPr>
        <w:footnoteRef/>
      </w:r>
      <w:r w:rsidRPr="00CB4109">
        <w:rPr>
          <w:rFonts w:ascii="Arial" w:hAnsi="Arial" w:cs="Arial"/>
        </w:rPr>
        <w:t xml:space="preserve"> See </w:t>
      </w:r>
      <w:r w:rsidRPr="00CB4109">
        <w:rPr>
          <w:rFonts w:ascii="Arial" w:hAnsi="Arial" w:cs="Arial"/>
          <w:i/>
        </w:rPr>
        <w:t>Explanations relating to the Charter of Fundamental Rights</w:t>
      </w:r>
      <w:r w:rsidRPr="00CB4109">
        <w:rPr>
          <w:rFonts w:ascii="Arial" w:hAnsi="Arial" w:cs="Arial"/>
        </w:rPr>
        <w:t xml:space="preserve"> (OJ 2007/C 303/02).</w:t>
      </w:r>
    </w:p>
  </w:footnote>
  <w:footnote w:id="74">
    <w:p w14:paraId="1CE6EA0B" w14:textId="5FDFA0F6" w:rsidR="00E71EB2" w:rsidRPr="00CB4109" w:rsidRDefault="00E71EB2" w:rsidP="0048325B">
      <w:pPr>
        <w:pStyle w:val="FootnoteText"/>
        <w:rPr>
          <w:rFonts w:ascii="Arial" w:hAnsi="Arial" w:cs="Arial"/>
          <w:lang w:val="en-US"/>
        </w:rPr>
      </w:pPr>
      <w:r w:rsidRPr="00CB4109">
        <w:rPr>
          <w:rStyle w:val="FootnoteReference"/>
          <w:rFonts w:ascii="Arial" w:hAnsi="Arial" w:cs="Arial"/>
        </w:rPr>
        <w:footnoteRef/>
      </w:r>
      <w:r w:rsidRPr="00CB4109">
        <w:rPr>
          <w:rFonts w:ascii="Arial" w:hAnsi="Arial" w:cs="Arial"/>
        </w:rPr>
        <w:t xml:space="preserve"> </w:t>
      </w:r>
      <w:r w:rsidRPr="00CB4109">
        <w:rPr>
          <w:rFonts w:ascii="Arial" w:hAnsi="Arial" w:cs="Arial"/>
          <w:lang w:val="en-US"/>
        </w:rPr>
        <w:t xml:space="preserve">From Peers, Hervey, Kenner &amp; Ward (2014) </w:t>
      </w:r>
      <w:r w:rsidRPr="00CB4109">
        <w:rPr>
          <w:rFonts w:ascii="Arial" w:hAnsi="Arial" w:cs="Arial"/>
          <w:i/>
          <w:lang w:val="en-US"/>
        </w:rPr>
        <w:t>The EU Charter of Fundamental Rights - A Commentary</w:t>
      </w:r>
      <w:r w:rsidRPr="00CB4109">
        <w:rPr>
          <w:rFonts w:ascii="Arial" w:hAnsi="Arial" w:cs="Arial"/>
          <w:lang w:val="en-US"/>
        </w:rPr>
        <w:t xml:space="preserve"> (Oxford, Hart) 1858-9.</w:t>
      </w:r>
    </w:p>
  </w:footnote>
  <w:footnote w:id="75">
    <w:p w14:paraId="16931DCF" w14:textId="77777777" w:rsidR="00E71EB2" w:rsidRPr="00CB4109" w:rsidRDefault="00E71EB2" w:rsidP="0048325B">
      <w:pPr>
        <w:pStyle w:val="FootnoteText"/>
        <w:rPr>
          <w:rFonts w:ascii="Arial" w:hAnsi="Arial" w:cs="Arial"/>
        </w:rPr>
      </w:pPr>
      <w:r w:rsidRPr="00CB4109">
        <w:rPr>
          <w:rStyle w:val="FootnoteReference"/>
          <w:rFonts w:ascii="Arial" w:hAnsi="Arial" w:cs="Arial"/>
        </w:rPr>
        <w:footnoteRef/>
      </w:r>
      <w:r w:rsidRPr="00CB4109">
        <w:rPr>
          <w:rFonts w:ascii="Arial" w:hAnsi="Arial" w:cs="Arial"/>
        </w:rPr>
        <w:t xml:space="preserve"> Council Directive </w:t>
      </w:r>
      <w:hyperlink r:id="rId23" w:history="1">
        <w:r w:rsidRPr="00CB4109">
          <w:rPr>
            <w:rStyle w:val="Hyperlink"/>
            <w:rFonts w:ascii="Arial" w:hAnsi="Arial" w:cs="Arial"/>
          </w:rPr>
          <w:t>93/13/EEC</w:t>
        </w:r>
      </w:hyperlink>
      <w:r w:rsidRPr="00CB4109">
        <w:rPr>
          <w:rFonts w:ascii="Arial" w:hAnsi="Arial" w:cs="Arial"/>
        </w:rPr>
        <w:t xml:space="preserve"> of 5 April 1993 on unfair terms in consumer contracts.</w:t>
      </w:r>
    </w:p>
  </w:footnote>
  <w:footnote w:id="76">
    <w:p w14:paraId="24EB59A7" w14:textId="64475ABC" w:rsidR="00E71EB2" w:rsidRPr="00CB4109" w:rsidRDefault="00E71EB2" w:rsidP="0048325B">
      <w:pPr>
        <w:pStyle w:val="FootnoteText"/>
        <w:rPr>
          <w:rFonts w:ascii="Arial" w:hAnsi="Arial" w:cs="Arial"/>
          <w:color w:val="0D0D0D"/>
        </w:rPr>
      </w:pPr>
      <w:r w:rsidRPr="00CB4109">
        <w:rPr>
          <w:rStyle w:val="FootnoteReference"/>
          <w:rFonts w:ascii="Arial" w:hAnsi="Arial" w:cs="Arial"/>
          <w:color w:val="0D0D0D"/>
        </w:rPr>
        <w:footnoteRef/>
      </w:r>
      <w:r w:rsidRPr="00CB4109">
        <w:rPr>
          <w:rFonts w:ascii="Arial" w:hAnsi="Arial" w:cs="Arial"/>
          <w:color w:val="0D0D0D"/>
        </w:rPr>
        <w:t xml:space="preserve"> Case C-243/08</w:t>
      </w:r>
      <w:r w:rsidRPr="00CB4109">
        <w:rPr>
          <w:rFonts w:ascii="Arial" w:hAnsi="Arial" w:cs="Arial"/>
          <w:i/>
        </w:rPr>
        <w:t xml:space="preserve"> Pannon GSM Zrt v Erzsébet Sustikné Győrfi </w:t>
      </w:r>
      <w:r w:rsidRPr="00CB4109">
        <w:rPr>
          <w:rFonts w:ascii="Arial" w:hAnsi="Arial" w:cs="Arial"/>
        </w:rPr>
        <w:t>established that national courts must examine disputed consumer contracts for compliance with Directive 93/13/EC.</w:t>
      </w:r>
      <w:r w:rsidRPr="00CB4109">
        <w:rPr>
          <w:rFonts w:ascii="Arial" w:hAnsi="Arial" w:cs="Arial"/>
          <w:i/>
        </w:rPr>
        <w:t xml:space="preserve"> </w:t>
      </w:r>
      <w:r w:rsidRPr="00CB4109">
        <w:rPr>
          <w:rFonts w:ascii="Arial" w:hAnsi="Arial" w:cs="Arial"/>
        </w:rPr>
        <w:t xml:space="preserve">See also </w:t>
      </w:r>
      <w:r w:rsidRPr="00CB4109">
        <w:rPr>
          <w:rFonts w:ascii="Arial" w:hAnsi="Arial" w:cs="Arial"/>
          <w:lang w:val="en-US"/>
        </w:rPr>
        <w:t>Case C-49/14</w:t>
      </w:r>
      <w:r w:rsidRPr="00CB4109">
        <w:rPr>
          <w:rFonts w:ascii="Arial" w:eastAsia="Times New Roman" w:hAnsi="Arial" w:cs="Arial"/>
        </w:rPr>
        <w:t xml:space="preserve"> </w:t>
      </w:r>
      <w:r w:rsidRPr="00CB4109">
        <w:rPr>
          <w:rFonts w:ascii="Arial" w:eastAsia="Times New Roman" w:hAnsi="Arial" w:cs="Arial"/>
          <w:i/>
        </w:rPr>
        <w:t>Finanmadrid EFC SA v Jesús Vicente Albán Zambrano and Others.</w:t>
      </w:r>
      <w:r w:rsidRPr="00CB4109">
        <w:rPr>
          <w:rFonts w:ascii="Arial" w:hAnsi="Arial" w:cs="Arial"/>
          <w:lang w:val="en-US"/>
        </w:rPr>
        <w:t xml:space="preserve"> See also Case C-377/14 </w:t>
      </w:r>
      <w:r w:rsidRPr="00CB4109">
        <w:rPr>
          <w:rFonts w:ascii="Arial" w:hAnsi="Arial" w:cs="Arial"/>
          <w:i/>
          <w:color w:val="000000"/>
        </w:rPr>
        <w:t>Ernst Georg Radlinger and Helena Radlingerová v Finway a.s</w:t>
      </w:r>
      <w:r w:rsidRPr="00CB4109">
        <w:rPr>
          <w:rFonts w:ascii="Arial" w:hAnsi="Arial" w:cs="Arial"/>
          <w:color w:val="000000"/>
        </w:rPr>
        <w:t>., where the CJEU reiterated that a national court is obliged to examine of its own motion the compliance by sellers or suppliers with the rules of EU consumer protection law. This also applies in insolvency proceedings as well as consumer credit agreements, including mortgages.</w:t>
      </w:r>
    </w:p>
  </w:footnote>
  <w:footnote w:id="77">
    <w:p w14:paraId="73DB3222" w14:textId="77777777" w:rsidR="00E71EB2" w:rsidRPr="00CB4109" w:rsidRDefault="00E71EB2" w:rsidP="0048325B">
      <w:pPr>
        <w:pStyle w:val="FootnoteText"/>
        <w:rPr>
          <w:rFonts w:ascii="Arial" w:hAnsi="Arial" w:cs="Arial"/>
        </w:rPr>
      </w:pPr>
      <w:r w:rsidRPr="00CB4109">
        <w:rPr>
          <w:rStyle w:val="FootnoteReference"/>
          <w:rFonts w:ascii="Arial" w:hAnsi="Arial" w:cs="Arial"/>
        </w:rPr>
        <w:footnoteRef/>
      </w:r>
      <w:r w:rsidRPr="00CB4109">
        <w:rPr>
          <w:rFonts w:ascii="Arial" w:hAnsi="Arial" w:cs="Arial"/>
        </w:rPr>
        <w:t xml:space="preserve"> </w:t>
      </w:r>
      <w:r w:rsidRPr="00CB4109">
        <w:rPr>
          <w:rFonts w:ascii="Arial" w:hAnsi="Arial" w:cs="Arial"/>
          <w:color w:val="000000"/>
        </w:rPr>
        <w:t>Case C-415/11.</w:t>
      </w:r>
    </w:p>
  </w:footnote>
  <w:footnote w:id="78">
    <w:p w14:paraId="3B1F33B8" w14:textId="77777777" w:rsidR="00E71EB2" w:rsidRPr="00CB4109" w:rsidRDefault="00E71EB2" w:rsidP="0048325B">
      <w:pPr>
        <w:widowControl w:val="0"/>
        <w:autoSpaceDE w:val="0"/>
        <w:autoSpaceDN w:val="0"/>
        <w:adjustRightInd w:val="0"/>
        <w:spacing w:after="0" w:line="240" w:lineRule="auto"/>
        <w:jc w:val="both"/>
        <w:rPr>
          <w:rFonts w:ascii="Arial" w:hAnsi="Arial" w:cs="Arial"/>
          <w:sz w:val="20"/>
          <w:szCs w:val="20"/>
        </w:rPr>
      </w:pPr>
      <w:r w:rsidRPr="00CB4109">
        <w:rPr>
          <w:rStyle w:val="FootnoteReference"/>
          <w:rFonts w:ascii="Arial" w:hAnsi="Arial" w:cs="Arial"/>
          <w:sz w:val="20"/>
          <w:szCs w:val="20"/>
        </w:rPr>
        <w:footnoteRef/>
      </w:r>
      <w:r w:rsidRPr="00CB4109">
        <w:rPr>
          <w:rFonts w:ascii="Arial" w:hAnsi="Arial" w:cs="Arial"/>
          <w:sz w:val="20"/>
          <w:szCs w:val="20"/>
        </w:rPr>
        <w:t xml:space="preserve"> Case C-169/14. The ruling was incorporated into domestic legislation in September 2014 through Royal Decree-law 11/2014.</w:t>
      </w:r>
    </w:p>
  </w:footnote>
  <w:footnote w:id="79">
    <w:p w14:paraId="232B359B" w14:textId="238386CF" w:rsidR="00E71EB2" w:rsidRPr="00CB4109" w:rsidRDefault="00E71EB2" w:rsidP="0048325B">
      <w:pPr>
        <w:pStyle w:val="FootnoteText"/>
        <w:rPr>
          <w:rFonts w:ascii="Arial" w:hAnsi="Arial" w:cs="Arial"/>
          <w:lang w:val="en-US"/>
        </w:rPr>
      </w:pPr>
      <w:r w:rsidRPr="00CB4109">
        <w:rPr>
          <w:rStyle w:val="FootnoteReference"/>
          <w:rFonts w:ascii="Arial" w:hAnsi="Arial" w:cs="Arial"/>
        </w:rPr>
        <w:footnoteRef/>
      </w:r>
      <w:r w:rsidRPr="00CB4109">
        <w:rPr>
          <w:rFonts w:ascii="Arial" w:hAnsi="Arial" w:cs="Arial"/>
        </w:rPr>
        <w:t xml:space="preserve"> </w:t>
      </w:r>
      <w:r w:rsidRPr="00CB4109">
        <w:rPr>
          <w:rFonts w:ascii="Arial" w:hAnsi="Arial" w:cs="Arial"/>
          <w:lang w:val="en-US"/>
        </w:rPr>
        <w:t>Case C-34/13 [2014].</w:t>
      </w:r>
    </w:p>
  </w:footnote>
  <w:footnote w:id="80">
    <w:p w14:paraId="4BB4403E" w14:textId="77777777" w:rsidR="00E71EB2" w:rsidRPr="00CB4109" w:rsidRDefault="00E71EB2" w:rsidP="0048325B">
      <w:pPr>
        <w:pStyle w:val="FootnoteText"/>
        <w:rPr>
          <w:rFonts w:ascii="Arial" w:hAnsi="Arial" w:cs="Arial"/>
          <w:lang w:val="en-US"/>
        </w:rPr>
      </w:pPr>
      <w:r w:rsidRPr="00CB4109">
        <w:rPr>
          <w:rStyle w:val="FootnoteReference"/>
          <w:rFonts w:ascii="Arial" w:hAnsi="Arial" w:cs="Arial"/>
        </w:rPr>
        <w:footnoteRef/>
      </w:r>
      <w:r w:rsidRPr="00CB4109">
        <w:rPr>
          <w:rFonts w:ascii="Arial" w:hAnsi="Arial" w:cs="Arial"/>
        </w:rPr>
        <w:t xml:space="preserve"> </w:t>
      </w:r>
      <w:r w:rsidRPr="00CB4109">
        <w:rPr>
          <w:rFonts w:ascii="Arial" w:hAnsi="Arial" w:cs="Arial"/>
          <w:lang w:val="en-US"/>
        </w:rPr>
        <w:t>This provides that Union policies are to ensure a high level of consumer protection.</w:t>
      </w:r>
    </w:p>
  </w:footnote>
  <w:footnote w:id="81">
    <w:p w14:paraId="5D11688F" w14:textId="457DA95E" w:rsidR="00E71EB2" w:rsidRPr="00CB4109" w:rsidRDefault="00E71EB2" w:rsidP="0048325B">
      <w:pPr>
        <w:spacing w:after="0" w:line="240" w:lineRule="auto"/>
        <w:rPr>
          <w:rFonts w:ascii="Arial" w:hAnsi="Arial" w:cs="Arial"/>
          <w:sz w:val="20"/>
          <w:szCs w:val="20"/>
          <w:lang w:val="en-US"/>
        </w:rPr>
      </w:pPr>
      <w:r w:rsidRPr="00CB4109">
        <w:rPr>
          <w:rStyle w:val="FootnoteReference"/>
          <w:rFonts w:ascii="Arial" w:hAnsi="Arial" w:cs="Arial"/>
          <w:sz w:val="20"/>
          <w:szCs w:val="20"/>
        </w:rPr>
        <w:footnoteRef/>
      </w:r>
      <w:r w:rsidRPr="00CB4109">
        <w:rPr>
          <w:rFonts w:ascii="Arial" w:hAnsi="Arial" w:cs="Arial"/>
          <w:sz w:val="20"/>
          <w:szCs w:val="20"/>
        </w:rPr>
        <w:t xml:space="preserve"> In </w:t>
      </w:r>
      <w:r w:rsidRPr="00CB4109">
        <w:rPr>
          <w:rFonts w:ascii="Arial" w:hAnsi="Arial" w:cs="Arial"/>
          <w:sz w:val="20"/>
          <w:szCs w:val="20"/>
          <w:lang w:val="en-US"/>
        </w:rPr>
        <w:t>Case 106/77</w:t>
      </w:r>
      <w:r w:rsidRPr="00CB4109">
        <w:rPr>
          <w:rFonts w:ascii="Arial" w:hAnsi="Arial" w:cs="Arial"/>
          <w:bCs/>
          <w:i/>
          <w:sz w:val="20"/>
          <w:szCs w:val="20"/>
        </w:rPr>
        <w:t xml:space="preserve"> Simmenthal </w:t>
      </w:r>
      <w:r w:rsidRPr="00CB4109">
        <w:rPr>
          <w:rFonts w:ascii="Arial" w:eastAsia="Times New Roman" w:hAnsi="Arial" w:cs="Arial"/>
          <w:sz w:val="20"/>
          <w:szCs w:val="20"/>
        </w:rPr>
        <w:t>the CJEU held that: ‘</w:t>
      </w:r>
      <w:r w:rsidRPr="00CB4109">
        <w:rPr>
          <w:rFonts w:ascii="Arial" w:eastAsia="Times New Roman" w:hAnsi="Arial" w:cs="Arial"/>
          <w:i/>
          <w:sz w:val="20"/>
          <w:szCs w:val="20"/>
        </w:rPr>
        <w:t>A national court which is called upon, within the limits of its jurisdiction, to apply provisions of Community law is under a duty to give full effect to those provisions, if necessary refusing of its own motion to apply any conflicting provision of national legislation, even if adopted subsequently, and it is not necessary for the court to request or await the prior setting aside of such provisions by legislative or other constitutional means</w:t>
      </w:r>
      <w:r w:rsidRPr="00CB4109">
        <w:rPr>
          <w:rFonts w:ascii="Arial" w:eastAsia="Times New Roman" w:hAnsi="Arial" w:cs="Arial"/>
          <w:sz w:val="20"/>
          <w:szCs w:val="20"/>
        </w:rPr>
        <w:t>.’ (para 29).</w:t>
      </w:r>
    </w:p>
  </w:footnote>
  <w:footnote w:id="82">
    <w:p w14:paraId="7FE50E36" w14:textId="457381DE" w:rsidR="00E71EB2" w:rsidRPr="00CB4109" w:rsidRDefault="00E71EB2" w:rsidP="0048325B">
      <w:pPr>
        <w:pStyle w:val="FootnoteText"/>
        <w:rPr>
          <w:rFonts w:ascii="Arial" w:hAnsi="Arial" w:cs="Arial"/>
          <w:lang w:val="en-US"/>
        </w:rPr>
      </w:pPr>
      <w:r w:rsidRPr="00CB4109">
        <w:rPr>
          <w:rStyle w:val="FootnoteReference"/>
          <w:rFonts w:ascii="Arial" w:hAnsi="Arial" w:cs="Arial"/>
        </w:rPr>
        <w:footnoteRef/>
      </w:r>
      <w:r w:rsidRPr="00CB4109">
        <w:rPr>
          <w:rFonts w:ascii="Arial" w:hAnsi="Arial" w:cs="Arial"/>
        </w:rPr>
        <w:t xml:space="preserve"> See </w:t>
      </w:r>
      <w:r w:rsidRPr="00CB4109">
        <w:rPr>
          <w:rFonts w:ascii="Arial" w:hAnsi="Arial" w:cs="Arial"/>
          <w:i/>
        </w:rPr>
        <w:t>Explanations relating to the Charter of Fundamental Rights</w:t>
      </w:r>
      <w:r w:rsidRPr="00CB4109">
        <w:rPr>
          <w:rFonts w:ascii="Arial" w:hAnsi="Arial" w:cs="Arial"/>
        </w:rPr>
        <w:t xml:space="preserve"> (OJ 2007/C 303/02) </w:t>
      </w:r>
      <w:hyperlink r:id="rId24" w:history="1">
        <w:r w:rsidRPr="00CB4109">
          <w:rPr>
            <w:rStyle w:val="Hyperlink"/>
            <w:rFonts w:ascii="Arial" w:hAnsi="Arial" w:cs="Arial"/>
          </w:rPr>
          <w:t>http://eur-lex.europa.eu/LexUriServ/LexUriServ.do?uri=OJ:C:2007:303:0017:0035:en:PDF</w:t>
        </w:r>
      </w:hyperlink>
      <w:r w:rsidRPr="00CB4109">
        <w:rPr>
          <w:rStyle w:val="Hyperlink"/>
          <w:rFonts w:ascii="Arial" w:hAnsi="Arial" w:cs="Arial"/>
        </w:rPr>
        <w:t>.</w:t>
      </w:r>
      <w:r w:rsidRPr="00CB4109">
        <w:rPr>
          <w:rStyle w:val="Hyperlink"/>
          <w:rFonts w:ascii="Arial" w:hAnsi="Arial" w:cs="Arial"/>
          <w:color w:val="000000" w:themeColor="text1"/>
          <w:u w:val="none"/>
        </w:rPr>
        <w:t xml:space="preserve"> The proportionality principle was clearly established in Irish law in </w:t>
      </w:r>
      <w:r w:rsidRPr="00CB4109">
        <w:rPr>
          <w:rStyle w:val="Hyperlink"/>
          <w:rFonts w:ascii="Arial" w:hAnsi="Arial" w:cs="Arial"/>
          <w:i/>
          <w:color w:val="000000" w:themeColor="text1"/>
          <w:u w:val="none"/>
        </w:rPr>
        <w:t>Heaney v Ireland</w:t>
      </w:r>
      <w:r w:rsidRPr="00CB4109">
        <w:rPr>
          <w:rStyle w:val="Hyperlink"/>
          <w:rFonts w:ascii="Arial" w:hAnsi="Arial" w:cs="Arial"/>
          <w:color w:val="000000" w:themeColor="text1"/>
          <w:u w:val="none"/>
        </w:rPr>
        <w:t xml:space="preserve"> [1994] 3 I.IR 593 at 607, “The means chosen must pass a proportionality tests. They must: (a) be rationally connected to the objective and not be arbitrary, unfair or based on irrational considerations (b) impair the right as little as possible, and (c) be such that their effects on rights are proportional to the objective...”  </w:t>
      </w:r>
    </w:p>
  </w:footnote>
  <w:footnote w:id="83">
    <w:p w14:paraId="115F2CC6" w14:textId="77777777" w:rsidR="00E71EB2" w:rsidRPr="00CB4109" w:rsidRDefault="00E71EB2" w:rsidP="0048325B">
      <w:pPr>
        <w:pStyle w:val="FootnoteText"/>
        <w:rPr>
          <w:rFonts w:ascii="Arial" w:hAnsi="Arial" w:cs="Arial"/>
          <w:color w:val="000000"/>
        </w:rPr>
      </w:pPr>
      <w:r w:rsidRPr="00CB4109">
        <w:rPr>
          <w:rStyle w:val="FootnoteReference"/>
          <w:rFonts w:ascii="Arial" w:hAnsi="Arial" w:cs="Arial"/>
          <w:color w:val="000000"/>
        </w:rPr>
        <w:footnoteRef/>
      </w:r>
      <w:r w:rsidRPr="00CB4109">
        <w:rPr>
          <w:rFonts w:ascii="Arial" w:hAnsi="Arial" w:cs="Arial"/>
          <w:color w:val="000000"/>
        </w:rPr>
        <w:t xml:space="preserve"> ECtHR judgment, 13 May 2008. (Application no. 19009/04), para. 50. </w:t>
      </w:r>
    </w:p>
  </w:footnote>
  <w:footnote w:id="84">
    <w:p w14:paraId="304F55BB" w14:textId="054593C7" w:rsidR="00E71EB2" w:rsidRPr="00CB4109" w:rsidRDefault="00E71EB2" w:rsidP="009B1444">
      <w:pPr>
        <w:widowControl w:val="0"/>
        <w:autoSpaceDE w:val="0"/>
        <w:autoSpaceDN w:val="0"/>
        <w:adjustRightInd w:val="0"/>
        <w:spacing w:after="0" w:line="240" w:lineRule="auto"/>
        <w:jc w:val="both"/>
        <w:rPr>
          <w:rFonts w:ascii="Arial" w:hAnsi="Arial" w:cs="Arial"/>
          <w:iCs/>
          <w:sz w:val="20"/>
          <w:szCs w:val="20"/>
        </w:rPr>
      </w:pPr>
      <w:r w:rsidRPr="00CB4109">
        <w:rPr>
          <w:rStyle w:val="FootnoteReference"/>
          <w:rFonts w:ascii="Arial" w:hAnsi="Arial" w:cs="Arial"/>
          <w:sz w:val="20"/>
          <w:szCs w:val="20"/>
        </w:rPr>
        <w:footnoteRef/>
      </w:r>
      <w:r w:rsidRPr="00CB4109">
        <w:rPr>
          <w:rFonts w:ascii="Arial" w:hAnsi="Arial" w:cs="Arial"/>
          <w:sz w:val="20"/>
          <w:szCs w:val="20"/>
        </w:rPr>
        <w:t xml:space="preserve"> </w:t>
      </w:r>
      <w:r w:rsidRPr="00CB4109">
        <w:rPr>
          <w:rFonts w:ascii="Arial" w:hAnsi="Arial" w:cs="Arial"/>
          <w:i/>
          <w:iCs/>
          <w:color w:val="000000" w:themeColor="text1"/>
          <w:sz w:val="20"/>
          <w:szCs w:val="20"/>
        </w:rPr>
        <w:t>Yordanova and Others v Bulgaria</w:t>
      </w:r>
      <w:r w:rsidRPr="00CB4109">
        <w:rPr>
          <w:rFonts w:ascii="Arial" w:hAnsi="Arial" w:cs="Arial"/>
          <w:iCs/>
          <w:color w:val="000000" w:themeColor="text1"/>
          <w:sz w:val="20"/>
          <w:szCs w:val="20"/>
        </w:rPr>
        <w:t xml:space="preserve"> (</w:t>
      </w:r>
      <w:r w:rsidRPr="00CB4109">
        <w:rPr>
          <w:rFonts w:ascii="Arial" w:hAnsi="Arial" w:cs="Arial"/>
          <w:iCs/>
          <w:sz w:val="20"/>
          <w:szCs w:val="20"/>
        </w:rPr>
        <w:t xml:space="preserve">Application No. 25446/06), (ECHR, 24 September 2012). The UK courts have sought to confine the ECHR Article 8 ‘proportionality’ test to social housing or public authority eviction cases, and not applicable to evictions from private rented housing, upholding the nature of their unique Assured Shorthold Tenancy regime – see </w:t>
      </w:r>
      <w:r w:rsidRPr="00CB4109">
        <w:rPr>
          <w:rFonts w:ascii="Arial" w:hAnsi="Arial" w:cs="Arial"/>
          <w:i/>
          <w:iCs/>
          <w:sz w:val="20"/>
          <w:szCs w:val="20"/>
        </w:rPr>
        <w:t xml:space="preserve">McDonald v McDonald </w:t>
      </w:r>
      <w:r w:rsidRPr="00CB4109">
        <w:rPr>
          <w:rFonts w:ascii="Arial" w:hAnsi="Arial" w:cs="Arial"/>
          <w:iCs/>
          <w:sz w:val="20"/>
          <w:szCs w:val="20"/>
        </w:rPr>
        <w:t xml:space="preserve">[2016] UKSC 28. This seems to be at odds with </w:t>
      </w:r>
      <w:r w:rsidRPr="00CB4109">
        <w:rPr>
          <w:rFonts w:ascii="Arial" w:hAnsi="Arial" w:cs="Arial"/>
          <w:i/>
          <w:iCs/>
          <w:sz w:val="20"/>
          <w:szCs w:val="20"/>
        </w:rPr>
        <w:t>McCann v UK</w:t>
      </w:r>
      <w:r w:rsidRPr="00CB4109">
        <w:rPr>
          <w:rFonts w:ascii="Arial" w:hAnsi="Arial" w:cs="Arial"/>
          <w:iCs/>
          <w:sz w:val="20"/>
          <w:szCs w:val="20"/>
        </w:rPr>
        <w:t xml:space="preserve"> para 50 – “</w:t>
      </w:r>
      <w:r w:rsidRPr="00CB4109">
        <w:rPr>
          <w:rFonts w:ascii="Arial" w:hAnsi="Arial" w:cs="Arial"/>
          <w:b/>
          <w:sz w:val="20"/>
          <w:szCs w:val="20"/>
        </w:rPr>
        <w:t xml:space="preserve">Any person </w:t>
      </w:r>
      <w:r w:rsidRPr="00CB4109">
        <w:rPr>
          <w:rFonts w:ascii="Arial" w:hAnsi="Arial" w:cs="Arial"/>
          <w:sz w:val="20"/>
          <w:szCs w:val="20"/>
        </w:rPr>
        <w:t>at risk of an interference of this magnitude should in principle be able to have the proportionality of the measure determined by an independent tribunal in the light of the relevant principles under Article 8 of the Convention, notwithstanding that, under domestic law, his right of occupation has come to an end.”</w:t>
      </w:r>
    </w:p>
  </w:footnote>
  <w:footnote w:id="85">
    <w:p w14:paraId="10B5B6A9" w14:textId="565C5207" w:rsidR="00E71EB2" w:rsidRPr="00CB4109" w:rsidRDefault="00E71EB2" w:rsidP="0048325B">
      <w:pPr>
        <w:pStyle w:val="JuQuot"/>
        <w:spacing w:before="0" w:after="0"/>
        <w:ind w:left="0" w:firstLine="0"/>
        <w:rPr>
          <w:rFonts w:ascii="Arial" w:hAnsi="Arial" w:cs="Arial"/>
          <w:lang w:val="en-US"/>
        </w:rPr>
      </w:pPr>
      <w:r w:rsidRPr="00CB4109">
        <w:rPr>
          <w:rStyle w:val="FootnoteReference"/>
          <w:rFonts w:ascii="Arial" w:hAnsi="Arial" w:cs="Arial"/>
        </w:rPr>
        <w:footnoteRef/>
      </w:r>
      <w:r w:rsidRPr="00CB4109">
        <w:rPr>
          <w:rFonts w:ascii="Arial" w:hAnsi="Arial" w:cs="Arial"/>
        </w:rPr>
        <w:t xml:space="preserve"> </w:t>
      </w:r>
      <w:r w:rsidRPr="00CB4109">
        <w:rPr>
          <w:rFonts w:ascii="Arial" w:hAnsi="Arial" w:cs="Arial"/>
          <w:i/>
          <w:iCs/>
          <w:color w:val="000000" w:themeColor="text1"/>
        </w:rPr>
        <w:t>Yordanova and Others v Bulgaria</w:t>
      </w:r>
      <w:r w:rsidRPr="00CB4109">
        <w:rPr>
          <w:rFonts w:ascii="Arial" w:hAnsi="Arial" w:cs="Arial"/>
          <w:iCs/>
          <w:color w:val="000000" w:themeColor="text1"/>
        </w:rPr>
        <w:t xml:space="preserve"> (</w:t>
      </w:r>
      <w:r w:rsidRPr="00CB4109">
        <w:rPr>
          <w:rFonts w:ascii="Arial" w:hAnsi="Arial" w:cs="Arial"/>
          <w:iCs/>
        </w:rPr>
        <w:t>Application No. 25446/06), (ECHR, 24 September 2012),</w:t>
      </w:r>
      <w:r w:rsidRPr="00CB4109">
        <w:rPr>
          <w:rFonts w:ascii="Arial" w:hAnsi="Arial" w:cs="Arial"/>
        </w:rPr>
        <w:t xml:space="preserve"> para 106. Article 8(2) states: “There shall be no interference by a public authority with the exercise of this right except such as is in accordance with the law and is necessary in a democratic society in the interests of national security, public safety or the economic well-being of the country, for the prevention of disorder or crime, for the protection of health or morals, or for the protection of the rights and freedoms of others.”</w:t>
      </w:r>
    </w:p>
  </w:footnote>
  <w:footnote w:id="86">
    <w:p w14:paraId="70D895B3" w14:textId="280534C9" w:rsidR="00E71EB2" w:rsidRPr="00CB4109" w:rsidRDefault="00E71EB2" w:rsidP="0048325B">
      <w:pPr>
        <w:pStyle w:val="FootnoteText"/>
        <w:rPr>
          <w:rFonts w:ascii="Arial" w:hAnsi="Arial" w:cs="Arial"/>
          <w:lang w:val="en-US"/>
        </w:rPr>
      </w:pPr>
      <w:r w:rsidRPr="00CB4109">
        <w:rPr>
          <w:rStyle w:val="FootnoteReference"/>
          <w:rFonts w:ascii="Arial" w:hAnsi="Arial" w:cs="Arial"/>
        </w:rPr>
        <w:footnoteRef/>
      </w:r>
      <w:r w:rsidRPr="00CB4109">
        <w:rPr>
          <w:rFonts w:ascii="Arial" w:hAnsi="Arial" w:cs="Arial"/>
        </w:rPr>
        <w:t xml:space="preserve"> </w:t>
      </w:r>
      <w:r w:rsidRPr="00CB4109">
        <w:rPr>
          <w:rFonts w:ascii="Arial" w:hAnsi="Arial" w:cs="Arial"/>
          <w:i/>
        </w:rPr>
        <w:t>Ibid,</w:t>
      </w:r>
      <w:r w:rsidRPr="00CB4109">
        <w:rPr>
          <w:rFonts w:ascii="Arial" w:hAnsi="Arial" w:cs="Arial"/>
        </w:rPr>
        <w:t xml:space="preserve"> para 117.</w:t>
      </w:r>
    </w:p>
  </w:footnote>
  <w:footnote w:id="87">
    <w:p w14:paraId="7F34B445" w14:textId="4C3E5348" w:rsidR="00E71EB2" w:rsidRPr="00CB4109" w:rsidRDefault="00E71EB2" w:rsidP="0048325B">
      <w:pPr>
        <w:pStyle w:val="FootnoteText"/>
        <w:rPr>
          <w:rFonts w:ascii="Arial" w:hAnsi="Arial" w:cs="Arial"/>
        </w:rPr>
      </w:pPr>
      <w:r w:rsidRPr="00CB4109">
        <w:rPr>
          <w:rStyle w:val="FootnoteReference"/>
          <w:rFonts w:ascii="Arial" w:hAnsi="Arial" w:cs="Arial"/>
        </w:rPr>
        <w:footnoteRef/>
      </w:r>
      <w:r w:rsidRPr="00CB4109">
        <w:rPr>
          <w:rFonts w:ascii="Arial" w:hAnsi="Arial" w:cs="Arial"/>
        </w:rPr>
        <w:t xml:space="preserve"> </w:t>
      </w:r>
      <w:r w:rsidRPr="00CB4109">
        <w:rPr>
          <w:rFonts w:ascii="Arial" w:hAnsi="Arial" w:cs="Arial"/>
          <w:i/>
        </w:rPr>
        <w:t>Ibid,</w:t>
      </w:r>
      <w:r w:rsidRPr="00CB4109">
        <w:rPr>
          <w:rFonts w:ascii="Arial" w:hAnsi="Arial" w:cs="Arial"/>
        </w:rPr>
        <w:t xml:space="preserve"> para 118. </w:t>
      </w:r>
    </w:p>
  </w:footnote>
  <w:footnote w:id="88">
    <w:p w14:paraId="5CE29027" w14:textId="68202C93" w:rsidR="00E71EB2" w:rsidRPr="00CB4109" w:rsidRDefault="00E71EB2">
      <w:pPr>
        <w:pStyle w:val="FootnoteText"/>
        <w:rPr>
          <w:rFonts w:ascii="Arial" w:hAnsi="Arial" w:cs="Arial"/>
          <w:lang w:val="en-US"/>
        </w:rPr>
      </w:pPr>
      <w:r w:rsidRPr="00CB4109">
        <w:rPr>
          <w:rStyle w:val="FootnoteReference"/>
          <w:rFonts w:ascii="Arial" w:hAnsi="Arial" w:cs="Arial"/>
        </w:rPr>
        <w:footnoteRef/>
      </w:r>
      <w:r w:rsidRPr="00CB4109">
        <w:rPr>
          <w:rFonts w:ascii="Arial" w:hAnsi="Arial" w:cs="Arial"/>
        </w:rPr>
        <w:t xml:space="preserve"> See </w:t>
      </w:r>
      <w:r w:rsidRPr="00CB4109">
        <w:rPr>
          <w:rFonts w:ascii="Arial" w:hAnsi="Arial" w:cs="Arial"/>
          <w:i/>
        </w:rPr>
        <w:t>Orlić v. Croatia</w:t>
      </w:r>
      <w:r w:rsidRPr="00CB4109">
        <w:rPr>
          <w:rFonts w:ascii="Arial" w:hAnsi="Arial" w:cs="Arial"/>
        </w:rPr>
        <w:t>, (App. No. 48833/07</w:t>
      </w:r>
      <w:r w:rsidRPr="00CB4109">
        <w:rPr>
          <w:rFonts w:ascii="Arial" w:hAnsi="Arial" w:cs="Arial"/>
          <w:snapToGrid w:val="0"/>
          <w:lang w:val="pt-BR"/>
        </w:rPr>
        <w:t>, 21 June 2011) “</w:t>
      </w:r>
      <w:r w:rsidRPr="00CB4109">
        <w:rPr>
          <w:rStyle w:val="sb8d990e2"/>
          <w:rFonts w:ascii="Arial" w:eastAsia="Times New Roman" w:hAnsi="Arial" w:cs="Arial"/>
        </w:rPr>
        <w:t>The Court [ECtHR] notes that in the present case the applicant raised the issue of his right to respect for his home, which was not taken up by the national courts. They ordered the eviction of the applicant from his home without having determined the proportionality of the measure.’ Para 67.</w:t>
      </w:r>
    </w:p>
  </w:footnote>
  <w:footnote w:id="89">
    <w:p w14:paraId="25C3EE71" w14:textId="77777777" w:rsidR="00E71EB2" w:rsidRPr="00CB4109" w:rsidRDefault="00E71EB2" w:rsidP="0048325B">
      <w:pPr>
        <w:widowControl w:val="0"/>
        <w:autoSpaceDE w:val="0"/>
        <w:autoSpaceDN w:val="0"/>
        <w:adjustRightInd w:val="0"/>
        <w:spacing w:after="0" w:line="240" w:lineRule="auto"/>
        <w:rPr>
          <w:rFonts w:ascii="Arial" w:hAnsi="Arial" w:cs="Arial"/>
          <w:sz w:val="20"/>
          <w:szCs w:val="20"/>
          <w:lang w:val="en-US"/>
        </w:rPr>
      </w:pPr>
      <w:r w:rsidRPr="00CB4109">
        <w:rPr>
          <w:rStyle w:val="FootnoteReference"/>
          <w:rFonts w:ascii="Arial" w:hAnsi="Arial" w:cs="Arial"/>
          <w:sz w:val="20"/>
          <w:szCs w:val="20"/>
        </w:rPr>
        <w:footnoteRef/>
      </w:r>
      <w:r w:rsidRPr="00CB4109">
        <w:rPr>
          <w:rFonts w:ascii="Arial" w:hAnsi="Arial" w:cs="Arial"/>
          <w:sz w:val="20"/>
          <w:szCs w:val="20"/>
        </w:rPr>
        <w:t xml:space="preserve"> </w:t>
      </w:r>
      <w:r w:rsidRPr="00CB4109">
        <w:rPr>
          <w:rFonts w:ascii="Arial" w:hAnsi="Arial" w:cs="Arial"/>
          <w:i/>
          <w:color w:val="000000" w:themeColor="text1"/>
          <w:sz w:val="20"/>
          <w:szCs w:val="20"/>
        </w:rPr>
        <w:t>Ceesay and Others v Spain</w:t>
      </w:r>
      <w:r w:rsidRPr="00CB4109">
        <w:rPr>
          <w:rFonts w:ascii="Arial" w:hAnsi="Arial" w:cs="Arial"/>
          <w:color w:val="000000" w:themeColor="text1"/>
          <w:sz w:val="20"/>
          <w:szCs w:val="20"/>
        </w:rPr>
        <w:t>, (App. No 62688/13), Interim Decision 15 October 2013. This case arose through the use by lawyers for the Ceesay family using the</w:t>
      </w:r>
      <w:r w:rsidRPr="00CB4109">
        <w:rPr>
          <w:rFonts w:ascii="Arial" w:eastAsiaTheme="minorEastAsia" w:hAnsi="Arial" w:cs="Arial"/>
          <w:sz w:val="20"/>
          <w:szCs w:val="20"/>
          <w:lang w:val="en-US" w:eastAsia="ja-JP"/>
        </w:rPr>
        <w:t xml:space="preserve"> Interim Procedure under Rule 39 of the ECtHR Rules for a speedy hearing – this applies in cases where irreparable harm is likely following a State actions. See also </w:t>
      </w:r>
      <w:r w:rsidRPr="00CB4109">
        <w:rPr>
          <w:rFonts w:ascii="Arial" w:hAnsi="Arial" w:cs="Arial"/>
          <w:i/>
          <w:sz w:val="20"/>
          <w:szCs w:val="20"/>
          <w:lang w:val="de-DE"/>
        </w:rPr>
        <w:t>AMB v Spain</w:t>
      </w:r>
      <w:r w:rsidRPr="00CB4109">
        <w:rPr>
          <w:rFonts w:ascii="Arial" w:hAnsi="Arial" w:cs="Arial"/>
          <w:color w:val="000000" w:themeColor="text1"/>
          <w:sz w:val="20"/>
          <w:szCs w:val="20"/>
        </w:rPr>
        <w:t xml:space="preserve"> (App No. 77842/12) ECHR, 20 February 2014.</w:t>
      </w:r>
    </w:p>
  </w:footnote>
  <w:footnote w:id="90">
    <w:p w14:paraId="689F294F" w14:textId="77777777" w:rsidR="00E71EB2" w:rsidRPr="00CB4109" w:rsidRDefault="00E71EB2" w:rsidP="0048325B">
      <w:pPr>
        <w:widowControl w:val="0"/>
        <w:autoSpaceDE w:val="0"/>
        <w:autoSpaceDN w:val="0"/>
        <w:adjustRightInd w:val="0"/>
        <w:spacing w:after="0" w:line="240" w:lineRule="auto"/>
        <w:rPr>
          <w:rFonts w:ascii="Arial" w:hAnsi="Arial" w:cs="Arial"/>
          <w:sz w:val="20"/>
          <w:szCs w:val="20"/>
          <w:lang w:val="en-US"/>
        </w:rPr>
      </w:pPr>
      <w:r w:rsidRPr="00CB4109">
        <w:rPr>
          <w:rStyle w:val="FootnoteReference"/>
          <w:rFonts w:ascii="Arial" w:hAnsi="Arial" w:cs="Arial"/>
          <w:sz w:val="20"/>
          <w:szCs w:val="20"/>
        </w:rPr>
        <w:footnoteRef/>
      </w:r>
      <w:r w:rsidRPr="00CB4109">
        <w:rPr>
          <w:rFonts w:ascii="Arial" w:hAnsi="Arial" w:cs="Arial"/>
          <w:sz w:val="20"/>
          <w:szCs w:val="20"/>
        </w:rPr>
        <w:t xml:space="preserve"> </w:t>
      </w:r>
      <w:r w:rsidRPr="00CB4109">
        <w:rPr>
          <w:rFonts w:ascii="Arial" w:hAnsi="Arial" w:cs="Arial"/>
          <w:i/>
          <w:color w:val="000000" w:themeColor="text1"/>
          <w:sz w:val="20"/>
          <w:szCs w:val="20"/>
        </w:rPr>
        <w:t>Ceesay and Others v Spain</w:t>
      </w:r>
      <w:r w:rsidRPr="00CB4109">
        <w:rPr>
          <w:rFonts w:ascii="Arial" w:hAnsi="Arial" w:cs="Arial"/>
          <w:color w:val="000000" w:themeColor="text1"/>
          <w:sz w:val="20"/>
          <w:szCs w:val="20"/>
        </w:rPr>
        <w:t xml:space="preserve">, (App. No 62688/13), Interim Decision 15 October 2013. </w:t>
      </w:r>
    </w:p>
  </w:footnote>
  <w:footnote w:id="91">
    <w:p w14:paraId="3D00A7BF" w14:textId="77777777" w:rsidR="00E71EB2" w:rsidRPr="00CB4109" w:rsidRDefault="00E71EB2" w:rsidP="0048325B">
      <w:pPr>
        <w:spacing w:after="0" w:line="240" w:lineRule="auto"/>
        <w:rPr>
          <w:rFonts w:ascii="Arial" w:hAnsi="Arial" w:cs="Arial"/>
          <w:sz w:val="20"/>
          <w:szCs w:val="20"/>
          <w:lang w:val="de-DE"/>
        </w:rPr>
      </w:pPr>
      <w:r w:rsidRPr="00CB4109">
        <w:rPr>
          <w:rStyle w:val="FootnoteReference"/>
          <w:rFonts w:ascii="Arial" w:hAnsi="Arial" w:cs="Arial"/>
          <w:sz w:val="20"/>
          <w:szCs w:val="20"/>
        </w:rPr>
        <w:footnoteRef/>
      </w:r>
      <w:r w:rsidRPr="00CB4109">
        <w:rPr>
          <w:rFonts w:ascii="Arial" w:hAnsi="Arial" w:cs="Arial"/>
          <w:sz w:val="20"/>
          <w:szCs w:val="20"/>
          <w:lang w:val="de-DE"/>
        </w:rPr>
        <w:t xml:space="preserve"> </w:t>
      </w:r>
      <w:r w:rsidRPr="00CB4109">
        <w:rPr>
          <w:rFonts w:ascii="Arial" w:hAnsi="Arial" w:cs="Arial"/>
          <w:i/>
          <w:sz w:val="20"/>
          <w:szCs w:val="20"/>
          <w:lang w:val="de-DE"/>
        </w:rPr>
        <w:t>AMB v Spain</w:t>
      </w:r>
      <w:r w:rsidRPr="00CB4109">
        <w:rPr>
          <w:rFonts w:ascii="Arial" w:hAnsi="Arial" w:cs="Arial"/>
          <w:color w:val="000000" w:themeColor="text1"/>
          <w:sz w:val="20"/>
          <w:szCs w:val="20"/>
        </w:rPr>
        <w:t xml:space="preserve"> (App No. 77842/12) ECHR, 20 February 2014.</w:t>
      </w:r>
    </w:p>
  </w:footnote>
  <w:footnote w:id="92">
    <w:p w14:paraId="09125D9B" w14:textId="0BA2E424" w:rsidR="00E71EB2" w:rsidRPr="00CB4109" w:rsidRDefault="00E71EB2" w:rsidP="0048325B">
      <w:pPr>
        <w:pStyle w:val="FootnoteText"/>
        <w:rPr>
          <w:rFonts w:ascii="Arial" w:hAnsi="Arial" w:cs="Arial"/>
          <w:lang w:val="en-US"/>
        </w:rPr>
      </w:pPr>
      <w:r w:rsidRPr="00CB4109">
        <w:rPr>
          <w:rStyle w:val="FootnoteReference"/>
          <w:rFonts w:ascii="Arial" w:hAnsi="Arial" w:cs="Arial"/>
        </w:rPr>
        <w:footnoteRef/>
      </w:r>
      <w:r w:rsidRPr="00CB4109">
        <w:rPr>
          <w:rFonts w:ascii="Arial" w:hAnsi="Arial" w:cs="Arial"/>
        </w:rPr>
        <w:t xml:space="preserve"> Directive 2014/17/EU.</w:t>
      </w:r>
    </w:p>
  </w:footnote>
  <w:footnote w:id="93">
    <w:p w14:paraId="161A81C0" w14:textId="54F4FDF1" w:rsidR="00E71EB2" w:rsidRPr="00CB4109" w:rsidRDefault="00E71EB2" w:rsidP="0048325B">
      <w:pPr>
        <w:pStyle w:val="FootnoteText"/>
        <w:rPr>
          <w:rFonts w:ascii="Arial" w:hAnsi="Arial" w:cs="Arial"/>
          <w:lang w:val="en-US"/>
        </w:rPr>
      </w:pPr>
      <w:r w:rsidRPr="00CB4109">
        <w:rPr>
          <w:rStyle w:val="FootnoteReference"/>
          <w:rFonts w:ascii="Arial" w:hAnsi="Arial" w:cs="Arial"/>
        </w:rPr>
        <w:footnoteRef/>
      </w:r>
      <w:r w:rsidRPr="00CB4109">
        <w:rPr>
          <w:rFonts w:ascii="Arial" w:hAnsi="Arial" w:cs="Arial"/>
        </w:rPr>
        <w:t xml:space="preserve"> Directive 2014/17/EU</w:t>
      </w:r>
      <w:r w:rsidRPr="00CB4109">
        <w:rPr>
          <w:rFonts w:ascii="Arial" w:hAnsi="Arial" w:cs="Arial"/>
          <w:i/>
        </w:rPr>
        <w:t xml:space="preserve"> Preamble 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96F8E"/>
    <w:multiLevelType w:val="hybridMultilevel"/>
    <w:tmpl w:val="B3D23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C21DBD"/>
    <w:multiLevelType w:val="hybridMultilevel"/>
    <w:tmpl w:val="C4C0A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602B12"/>
    <w:multiLevelType w:val="hybridMultilevel"/>
    <w:tmpl w:val="76A6277C"/>
    <w:lvl w:ilvl="0" w:tplc="1809000F">
      <w:start w:val="1"/>
      <w:numFmt w:val="decimal"/>
      <w:lvlText w:val="%1."/>
      <w:lvlJc w:val="left"/>
      <w:pPr>
        <w:ind w:left="502"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23664498"/>
    <w:multiLevelType w:val="hybridMultilevel"/>
    <w:tmpl w:val="5E5206A0"/>
    <w:lvl w:ilvl="0" w:tplc="709EC74A">
      <w:start w:val="1"/>
      <w:numFmt w:val="bullet"/>
      <w:lvlText w:val=""/>
      <w:lvlJc w:val="left"/>
      <w:pPr>
        <w:ind w:left="720" w:hanging="360"/>
      </w:pPr>
      <w:rPr>
        <w:rFonts w:ascii="Wingdings" w:hAnsi="Wingdings" w:hint="default"/>
        <w:b/>
        <w:color w:val="7030A0"/>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427446"/>
    <w:multiLevelType w:val="hybridMultilevel"/>
    <w:tmpl w:val="762A93CE"/>
    <w:lvl w:ilvl="0" w:tplc="B6EAAC6A">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566645"/>
    <w:multiLevelType w:val="hybridMultilevel"/>
    <w:tmpl w:val="BAEA4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D43A61"/>
    <w:multiLevelType w:val="hybridMultilevel"/>
    <w:tmpl w:val="38407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0078D9"/>
    <w:multiLevelType w:val="multilevel"/>
    <w:tmpl w:val="FA6A45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21228A"/>
    <w:multiLevelType w:val="hybridMultilevel"/>
    <w:tmpl w:val="BA20F6D8"/>
    <w:lvl w:ilvl="0" w:tplc="1809000F">
      <w:start w:val="1"/>
      <w:numFmt w:val="decimal"/>
      <w:lvlText w:val="%1."/>
      <w:lvlJc w:val="left"/>
      <w:pPr>
        <w:ind w:left="1920" w:hanging="360"/>
      </w:pPr>
      <w:rPr>
        <w:rFonts w:hint="default"/>
      </w:rPr>
    </w:lvl>
    <w:lvl w:ilvl="1" w:tplc="18090019" w:tentative="1">
      <w:start w:val="1"/>
      <w:numFmt w:val="lowerLetter"/>
      <w:lvlText w:val="%2."/>
      <w:lvlJc w:val="left"/>
      <w:pPr>
        <w:ind w:left="2640" w:hanging="360"/>
      </w:pPr>
    </w:lvl>
    <w:lvl w:ilvl="2" w:tplc="1809001B" w:tentative="1">
      <w:start w:val="1"/>
      <w:numFmt w:val="lowerRoman"/>
      <w:lvlText w:val="%3."/>
      <w:lvlJc w:val="right"/>
      <w:pPr>
        <w:ind w:left="3360" w:hanging="180"/>
      </w:pPr>
    </w:lvl>
    <w:lvl w:ilvl="3" w:tplc="1809000F" w:tentative="1">
      <w:start w:val="1"/>
      <w:numFmt w:val="decimal"/>
      <w:lvlText w:val="%4."/>
      <w:lvlJc w:val="left"/>
      <w:pPr>
        <w:ind w:left="4080" w:hanging="360"/>
      </w:pPr>
    </w:lvl>
    <w:lvl w:ilvl="4" w:tplc="18090019" w:tentative="1">
      <w:start w:val="1"/>
      <w:numFmt w:val="lowerLetter"/>
      <w:lvlText w:val="%5."/>
      <w:lvlJc w:val="left"/>
      <w:pPr>
        <w:ind w:left="4800" w:hanging="360"/>
      </w:pPr>
    </w:lvl>
    <w:lvl w:ilvl="5" w:tplc="1809001B" w:tentative="1">
      <w:start w:val="1"/>
      <w:numFmt w:val="lowerRoman"/>
      <w:lvlText w:val="%6."/>
      <w:lvlJc w:val="right"/>
      <w:pPr>
        <w:ind w:left="5520" w:hanging="180"/>
      </w:pPr>
    </w:lvl>
    <w:lvl w:ilvl="6" w:tplc="1809000F" w:tentative="1">
      <w:start w:val="1"/>
      <w:numFmt w:val="decimal"/>
      <w:lvlText w:val="%7."/>
      <w:lvlJc w:val="left"/>
      <w:pPr>
        <w:ind w:left="6240" w:hanging="360"/>
      </w:pPr>
    </w:lvl>
    <w:lvl w:ilvl="7" w:tplc="18090019" w:tentative="1">
      <w:start w:val="1"/>
      <w:numFmt w:val="lowerLetter"/>
      <w:lvlText w:val="%8."/>
      <w:lvlJc w:val="left"/>
      <w:pPr>
        <w:ind w:left="6960" w:hanging="360"/>
      </w:pPr>
    </w:lvl>
    <w:lvl w:ilvl="8" w:tplc="1809001B" w:tentative="1">
      <w:start w:val="1"/>
      <w:numFmt w:val="lowerRoman"/>
      <w:lvlText w:val="%9."/>
      <w:lvlJc w:val="right"/>
      <w:pPr>
        <w:ind w:left="7680" w:hanging="180"/>
      </w:pPr>
    </w:lvl>
  </w:abstractNum>
  <w:abstractNum w:abstractNumId="9">
    <w:nsid w:val="4ACB0096"/>
    <w:multiLevelType w:val="hybridMultilevel"/>
    <w:tmpl w:val="38407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113FC8"/>
    <w:multiLevelType w:val="multilevel"/>
    <w:tmpl w:val="1548D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5B66F3F"/>
    <w:multiLevelType w:val="multilevel"/>
    <w:tmpl w:val="3D0AF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CFC49C6"/>
    <w:multiLevelType w:val="hybridMultilevel"/>
    <w:tmpl w:val="A55AFD9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0874979"/>
    <w:multiLevelType w:val="hybridMultilevel"/>
    <w:tmpl w:val="1EC486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8846F2"/>
    <w:multiLevelType w:val="hybridMultilevel"/>
    <w:tmpl w:val="38407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0"/>
  </w:num>
  <w:num w:numId="3">
    <w:abstractNumId w:val="11"/>
  </w:num>
  <w:num w:numId="4">
    <w:abstractNumId w:val="8"/>
  </w:num>
  <w:num w:numId="5">
    <w:abstractNumId w:val="7"/>
  </w:num>
  <w:num w:numId="6">
    <w:abstractNumId w:val="9"/>
  </w:num>
  <w:num w:numId="7">
    <w:abstractNumId w:val="5"/>
  </w:num>
  <w:num w:numId="8">
    <w:abstractNumId w:val="14"/>
  </w:num>
  <w:num w:numId="9">
    <w:abstractNumId w:val="6"/>
  </w:num>
  <w:num w:numId="10">
    <w:abstractNumId w:val="3"/>
  </w:num>
  <w:num w:numId="11">
    <w:abstractNumId w:val="4"/>
  </w:num>
  <w:num w:numId="12">
    <w:abstractNumId w:val="1"/>
  </w:num>
  <w:num w:numId="13">
    <w:abstractNumId w:val="0"/>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558E"/>
    <w:rsid w:val="00001158"/>
    <w:rsid w:val="00026A3C"/>
    <w:rsid w:val="00037BFE"/>
    <w:rsid w:val="000425CB"/>
    <w:rsid w:val="00046482"/>
    <w:rsid w:val="00050603"/>
    <w:rsid w:val="00051B99"/>
    <w:rsid w:val="0005507F"/>
    <w:rsid w:val="0005694C"/>
    <w:rsid w:val="00061C55"/>
    <w:rsid w:val="00066051"/>
    <w:rsid w:val="00086789"/>
    <w:rsid w:val="000877CA"/>
    <w:rsid w:val="000911FE"/>
    <w:rsid w:val="000A12C9"/>
    <w:rsid w:val="000A35DC"/>
    <w:rsid w:val="000B2907"/>
    <w:rsid w:val="000B57E6"/>
    <w:rsid w:val="000C6F91"/>
    <w:rsid w:val="000E6947"/>
    <w:rsid w:val="001025F8"/>
    <w:rsid w:val="00113C90"/>
    <w:rsid w:val="0011793B"/>
    <w:rsid w:val="00124C7D"/>
    <w:rsid w:val="00133000"/>
    <w:rsid w:val="00151A08"/>
    <w:rsid w:val="00154026"/>
    <w:rsid w:val="00154B41"/>
    <w:rsid w:val="0015741D"/>
    <w:rsid w:val="00157EE5"/>
    <w:rsid w:val="00160C04"/>
    <w:rsid w:val="00161A22"/>
    <w:rsid w:val="00165F8C"/>
    <w:rsid w:val="001801F7"/>
    <w:rsid w:val="00181F89"/>
    <w:rsid w:val="001823C8"/>
    <w:rsid w:val="001A007F"/>
    <w:rsid w:val="001D44A2"/>
    <w:rsid w:val="001D4A56"/>
    <w:rsid w:val="001E6515"/>
    <w:rsid w:val="001F0DCB"/>
    <w:rsid w:val="001F64EF"/>
    <w:rsid w:val="002125A7"/>
    <w:rsid w:val="00215B70"/>
    <w:rsid w:val="0022504E"/>
    <w:rsid w:val="002266BF"/>
    <w:rsid w:val="00226C32"/>
    <w:rsid w:val="00240010"/>
    <w:rsid w:val="00240494"/>
    <w:rsid w:val="00255E69"/>
    <w:rsid w:val="00272404"/>
    <w:rsid w:val="00276058"/>
    <w:rsid w:val="00277CA9"/>
    <w:rsid w:val="00282D54"/>
    <w:rsid w:val="002842E5"/>
    <w:rsid w:val="002A0E33"/>
    <w:rsid w:val="002A1230"/>
    <w:rsid w:val="002B067F"/>
    <w:rsid w:val="002B3CCE"/>
    <w:rsid w:val="002D1D6B"/>
    <w:rsid w:val="002E03E3"/>
    <w:rsid w:val="002E2EBB"/>
    <w:rsid w:val="002E3D3C"/>
    <w:rsid w:val="002E7EE1"/>
    <w:rsid w:val="003033AC"/>
    <w:rsid w:val="00303E3D"/>
    <w:rsid w:val="00305BBF"/>
    <w:rsid w:val="00325178"/>
    <w:rsid w:val="00326322"/>
    <w:rsid w:val="003436AE"/>
    <w:rsid w:val="00343A06"/>
    <w:rsid w:val="003529B5"/>
    <w:rsid w:val="00355546"/>
    <w:rsid w:val="00355B47"/>
    <w:rsid w:val="00356599"/>
    <w:rsid w:val="003804DF"/>
    <w:rsid w:val="00387FED"/>
    <w:rsid w:val="003D2CCC"/>
    <w:rsid w:val="003D6D5D"/>
    <w:rsid w:val="003E0639"/>
    <w:rsid w:val="003E1D5D"/>
    <w:rsid w:val="003E2DB7"/>
    <w:rsid w:val="003F3C5E"/>
    <w:rsid w:val="0040207B"/>
    <w:rsid w:val="0043253E"/>
    <w:rsid w:val="0043708E"/>
    <w:rsid w:val="00444CCF"/>
    <w:rsid w:val="00445BBE"/>
    <w:rsid w:val="00451627"/>
    <w:rsid w:val="0047005C"/>
    <w:rsid w:val="00471B0F"/>
    <w:rsid w:val="004725F2"/>
    <w:rsid w:val="0047267B"/>
    <w:rsid w:val="0047474C"/>
    <w:rsid w:val="00474ACF"/>
    <w:rsid w:val="0048325B"/>
    <w:rsid w:val="00495C8A"/>
    <w:rsid w:val="004A2028"/>
    <w:rsid w:val="004A2E1E"/>
    <w:rsid w:val="004B4C49"/>
    <w:rsid w:val="004C4B05"/>
    <w:rsid w:val="004C53F0"/>
    <w:rsid w:val="004D4353"/>
    <w:rsid w:val="004E3343"/>
    <w:rsid w:val="005142B2"/>
    <w:rsid w:val="0052505C"/>
    <w:rsid w:val="00525381"/>
    <w:rsid w:val="00533823"/>
    <w:rsid w:val="005465CC"/>
    <w:rsid w:val="0055759E"/>
    <w:rsid w:val="005778B2"/>
    <w:rsid w:val="0058765E"/>
    <w:rsid w:val="00592440"/>
    <w:rsid w:val="005927BF"/>
    <w:rsid w:val="00596CE4"/>
    <w:rsid w:val="005C2064"/>
    <w:rsid w:val="005E3444"/>
    <w:rsid w:val="00600307"/>
    <w:rsid w:val="00605AE1"/>
    <w:rsid w:val="00616242"/>
    <w:rsid w:val="00620A0A"/>
    <w:rsid w:val="0062682D"/>
    <w:rsid w:val="00627FED"/>
    <w:rsid w:val="00640009"/>
    <w:rsid w:val="00640DEF"/>
    <w:rsid w:val="00650DBF"/>
    <w:rsid w:val="00687F36"/>
    <w:rsid w:val="006A07F2"/>
    <w:rsid w:val="006A14AE"/>
    <w:rsid w:val="006A42F2"/>
    <w:rsid w:val="006A48B5"/>
    <w:rsid w:val="006A5791"/>
    <w:rsid w:val="006B23DD"/>
    <w:rsid w:val="006B2DC0"/>
    <w:rsid w:val="006B7A0D"/>
    <w:rsid w:val="006C138E"/>
    <w:rsid w:val="006E2907"/>
    <w:rsid w:val="006F0CCD"/>
    <w:rsid w:val="006F6C6A"/>
    <w:rsid w:val="0070297A"/>
    <w:rsid w:val="00711356"/>
    <w:rsid w:val="0071169B"/>
    <w:rsid w:val="00717737"/>
    <w:rsid w:val="0072627A"/>
    <w:rsid w:val="007330A4"/>
    <w:rsid w:val="00742739"/>
    <w:rsid w:val="007563AE"/>
    <w:rsid w:val="007709F4"/>
    <w:rsid w:val="007737FE"/>
    <w:rsid w:val="00793B72"/>
    <w:rsid w:val="007A3AE1"/>
    <w:rsid w:val="007B44DE"/>
    <w:rsid w:val="007B5D16"/>
    <w:rsid w:val="007D555E"/>
    <w:rsid w:val="007F0F5C"/>
    <w:rsid w:val="007F558E"/>
    <w:rsid w:val="00802E93"/>
    <w:rsid w:val="00812BC1"/>
    <w:rsid w:val="00817556"/>
    <w:rsid w:val="008220DE"/>
    <w:rsid w:val="008303CB"/>
    <w:rsid w:val="008408E4"/>
    <w:rsid w:val="0084143E"/>
    <w:rsid w:val="00867009"/>
    <w:rsid w:val="00871ECA"/>
    <w:rsid w:val="008836DA"/>
    <w:rsid w:val="008902E0"/>
    <w:rsid w:val="008A6841"/>
    <w:rsid w:val="008A6924"/>
    <w:rsid w:val="008B0031"/>
    <w:rsid w:val="008B59E3"/>
    <w:rsid w:val="008C793F"/>
    <w:rsid w:val="008D2919"/>
    <w:rsid w:val="008D70B8"/>
    <w:rsid w:val="008E7BC5"/>
    <w:rsid w:val="008F514B"/>
    <w:rsid w:val="00904901"/>
    <w:rsid w:val="00904E44"/>
    <w:rsid w:val="0090698E"/>
    <w:rsid w:val="009219C6"/>
    <w:rsid w:val="0092242C"/>
    <w:rsid w:val="009231BE"/>
    <w:rsid w:val="00937708"/>
    <w:rsid w:val="00941DD6"/>
    <w:rsid w:val="009504C5"/>
    <w:rsid w:val="009608F7"/>
    <w:rsid w:val="00974B4F"/>
    <w:rsid w:val="00984FDF"/>
    <w:rsid w:val="009A2FFB"/>
    <w:rsid w:val="009B1444"/>
    <w:rsid w:val="009C0E54"/>
    <w:rsid w:val="009C1654"/>
    <w:rsid w:val="009E3CCF"/>
    <w:rsid w:val="009E6508"/>
    <w:rsid w:val="009F5C67"/>
    <w:rsid w:val="00A12D99"/>
    <w:rsid w:val="00A45EF9"/>
    <w:rsid w:val="00A5784C"/>
    <w:rsid w:val="00A723BF"/>
    <w:rsid w:val="00A82DFE"/>
    <w:rsid w:val="00A920C3"/>
    <w:rsid w:val="00AB7027"/>
    <w:rsid w:val="00AD3D05"/>
    <w:rsid w:val="00AD6A67"/>
    <w:rsid w:val="00AE2F75"/>
    <w:rsid w:val="00AE5026"/>
    <w:rsid w:val="00B02124"/>
    <w:rsid w:val="00B32255"/>
    <w:rsid w:val="00B431FB"/>
    <w:rsid w:val="00B46EE0"/>
    <w:rsid w:val="00B537B1"/>
    <w:rsid w:val="00B63091"/>
    <w:rsid w:val="00B7258E"/>
    <w:rsid w:val="00B9218E"/>
    <w:rsid w:val="00B93788"/>
    <w:rsid w:val="00B976A1"/>
    <w:rsid w:val="00BA6B65"/>
    <w:rsid w:val="00BB13DE"/>
    <w:rsid w:val="00BB1CC5"/>
    <w:rsid w:val="00BB53F5"/>
    <w:rsid w:val="00BB7F66"/>
    <w:rsid w:val="00BC4E89"/>
    <w:rsid w:val="00BC75A4"/>
    <w:rsid w:val="00BD29C7"/>
    <w:rsid w:val="00BD55BD"/>
    <w:rsid w:val="00BE5E32"/>
    <w:rsid w:val="00BF0B3E"/>
    <w:rsid w:val="00BF4ABE"/>
    <w:rsid w:val="00BF5055"/>
    <w:rsid w:val="00C06388"/>
    <w:rsid w:val="00C16C3F"/>
    <w:rsid w:val="00C30198"/>
    <w:rsid w:val="00C33225"/>
    <w:rsid w:val="00C43D1B"/>
    <w:rsid w:val="00C561A8"/>
    <w:rsid w:val="00C56AF9"/>
    <w:rsid w:val="00C628C4"/>
    <w:rsid w:val="00C65F6D"/>
    <w:rsid w:val="00C8146E"/>
    <w:rsid w:val="00C85766"/>
    <w:rsid w:val="00C85F4A"/>
    <w:rsid w:val="00CA7E59"/>
    <w:rsid w:val="00CB4109"/>
    <w:rsid w:val="00CC0EB2"/>
    <w:rsid w:val="00CC5E9E"/>
    <w:rsid w:val="00CD104C"/>
    <w:rsid w:val="00CE4274"/>
    <w:rsid w:val="00D04996"/>
    <w:rsid w:val="00D07247"/>
    <w:rsid w:val="00D263D0"/>
    <w:rsid w:val="00D379B8"/>
    <w:rsid w:val="00D4158B"/>
    <w:rsid w:val="00D4700C"/>
    <w:rsid w:val="00D509CB"/>
    <w:rsid w:val="00D601B1"/>
    <w:rsid w:val="00D605C7"/>
    <w:rsid w:val="00D64409"/>
    <w:rsid w:val="00D70EC3"/>
    <w:rsid w:val="00D7718C"/>
    <w:rsid w:val="00DA0254"/>
    <w:rsid w:val="00DA0796"/>
    <w:rsid w:val="00DB16D1"/>
    <w:rsid w:val="00DB32DA"/>
    <w:rsid w:val="00DC43A2"/>
    <w:rsid w:val="00DD30DB"/>
    <w:rsid w:val="00DD3F11"/>
    <w:rsid w:val="00DD5C2F"/>
    <w:rsid w:val="00DD5FE2"/>
    <w:rsid w:val="00DF0725"/>
    <w:rsid w:val="00E077B2"/>
    <w:rsid w:val="00E10655"/>
    <w:rsid w:val="00E12E37"/>
    <w:rsid w:val="00E17917"/>
    <w:rsid w:val="00E24AC1"/>
    <w:rsid w:val="00E250FB"/>
    <w:rsid w:val="00E26D20"/>
    <w:rsid w:val="00E357CF"/>
    <w:rsid w:val="00E449F9"/>
    <w:rsid w:val="00E54F96"/>
    <w:rsid w:val="00E71EB2"/>
    <w:rsid w:val="00E776A1"/>
    <w:rsid w:val="00E81726"/>
    <w:rsid w:val="00E838D4"/>
    <w:rsid w:val="00EA4154"/>
    <w:rsid w:val="00EC1066"/>
    <w:rsid w:val="00EC4477"/>
    <w:rsid w:val="00ED4420"/>
    <w:rsid w:val="00EE0073"/>
    <w:rsid w:val="00EE4BAE"/>
    <w:rsid w:val="00EE5439"/>
    <w:rsid w:val="00F03BE3"/>
    <w:rsid w:val="00F0626C"/>
    <w:rsid w:val="00F075CE"/>
    <w:rsid w:val="00F20523"/>
    <w:rsid w:val="00F36894"/>
    <w:rsid w:val="00F552D8"/>
    <w:rsid w:val="00F56034"/>
    <w:rsid w:val="00F64022"/>
    <w:rsid w:val="00F6615D"/>
    <w:rsid w:val="00F86FF1"/>
    <w:rsid w:val="00FB2177"/>
    <w:rsid w:val="00FB3615"/>
    <w:rsid w:val="00FB7CB9"/>
    <w:rsid w:val="00FC3828"/>
    <w:rsid w:val="00FC7E18"/>
    <w:rsid w:val="00FE2142"/>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6C4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uiPriority="0"/>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58E"/>
  </w:style>
  <w:style w:type="paragraph" w:styleId="Heading1">
    <w:name w:val="heading 1"/>
    <w:basedOn w:val="Normal"/>
    <w:next w:val="Normal"/>
    <w:link w:val="Heading1Char"/>
    <w:uiPriority w:val="9"/>
    <w:qFormat/>
    <w:rsid w:val="007F55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C13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F558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558E"/>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7F558E"/>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7F558E"/>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FootnoteText">
    <w:name w:val="footnote text"/>
    <w:aliases w:val="*Footnote Text,Footnote reference,FA Fu,Footnote Text Char Char Char Char Char,Footnote Text Char Char Char Char,Footnote,5_G,Footnote Text Char Char Char,footnote,footnotes,Footnote Text Char2 Char,Footnote Text Char Char1 Char,Texto,o"/>
    <w:basedOn w:val="Normal"/>
    <w:link w:val="FootnoteTextChar"/>
    <w:unhideWhenUsed/>
    <w:qFormat/>
    <w:rsid w:val="007F558E"/>
    <w:pPr>
      <w:spacing w:after="0" w:line="240" w:lineRule="auto"/>
    </w:pPr>
    <w:rPr>
      <w:sz w:val="20"/>
      <w:szCs w:val="20"/>
    </w:rPr>
  </w:style>
  <w:style w:type="character" w:customStyle="1" w:styleId="FootnoteTextChar">
    <w:name w:val="Footnote Text Char"/>
    <w:aliases w:val="*Footnote Text Char,Footnote reference Char,FA Fu Char,Footnote Text Char Char Char Char Char Char,Footnote Text Char Char Char Char Char1,Footnote Char,5_G Char,Footnote Text Char Char Char Char1,footnote Char,footnotes Char,o Char"/>
    <w:basedOn w:val="DefaultParagraphFont"/>
    <w:link w:val="FootnoteText"/>
    <w:rsid w:val="007F558E"/>
    <w:rPr>
      <w:sz w:val="20"/>
      <w:szCs w:val="20"/>
    </w:rPr>
  </w:style>
  <w:style w:type="character" w:styleId="FootnoteReference">
    <w:name w:val="footnote reference"/>
    <w:aliases w:val="Footnotes refss,Style 10,*Footnote Reference,Appel note de bas de p.,Footnote Refernece,Car Char Car Char Car Char Char Char Char Char Char Char Char,Footnote Refernece Char Char1,Footnote Refernece Char Char Char Char Char Char,4_G"/>
    <w:basedOn w:val="DefaultParagraphFont"/>
    <w:link w:val="CarCharCarCharCarCharCharCharCharCharCharChar"/>
    <w:unhideWhenUsed/>
    <w:qFormat/>
    <w:rsid w:val="007F558E"/>
    <w:rPr>
      <w:vertAlign w:val="superscript"/>
    </w:rPr>
  </w:style>
  <w:style w:type="character" w:styleId="Hyperlink">
    <w:name w:val="Hyperlink"/>
    <w:basedOn w:val="DefaultParagraphFont"/>
    <w:uiPriority w:val="99"/>
    <w:unhideWhenUsed/>
    <w:rsid w:val="007F558E"/>
    <w:rPr>
      <w:color w:val="0000FF" w:themeColor="hyperlink"/>
      <w:u w:val="single"/>
    </w:rPr>
  </w:style>
  <w:style w:type="paragraph" w:styleId="Title">
    <w:name w:val="Title"/>
    <w:basedOn w:val="Normal"/>
    <w:next w:val="Normal"/>
    <w:link w:val="TitleChar"/>
    <w:uiPriority w:val="10"/>
    <w:qFormat/>
    <w:rsid w:val="007F558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F558E"/>
    <w:rPr>
      <w:rFonts w:asciiTheme="majorHAnsi" w:eastAsiaTheme="majorEastAsia" w:hAnsiTheme="majorHAnsi" w:cstheme="majorBidi"/>
      <w:color w:val="17365D" w:themeColor="text2" w:themeShade="BF"/>
      <w:spacing w:val="5"/>
      <w:kern w:val="28"/>
      <w:sz w:val="52"/>
      <w:szCs w:val="52"/>
    </w:rPr>
  </w:style>
  <w:style w:type="paragraph" w:styleId="Footer">
    <w:name w:val="footer"/>
    <w:basedOn w:val="Normal"/>
    <w:link w:val="FooterChar"/>
    <w:unhideWhenUsed/>
    <w:rsid w:val="007F558E"/>
    <w:pPr>
      <w:tabs>
        <w:tab w:val="center" w:pos="4513"/>
        <w:tab w:val="right" w:pos="9026"/>
      </w:tabs>
      <w:spacing w:after="0" w:line="240" w:lineRule="auto"/>
    </w:pPr>
  </w:style>
  <w:style w:type="character" w:customStyle="1" w:styleId="FooterChar">
    <w:name w:val="Footer Char"/>
    <w:basedOn w:val="DefaultParagraphFont"/>
    <w:link w:val="Footer"/>
    <w:rsid w:val="007F558E"/>
  </w:style>
  <w:style w:type="paragraph" w:customStyle="1" w:styleId="CarCharCarCharCarCharCharCharCharCharCharChar">
    <w:name w:val="Car Char Car Char Car Char Char Char Char Char Char Char"/>
    <w:aliases w:val="Footnote Refernece Char,Footnote Refernece Char Char Char Char"/>
    <w:basedOn w:val="Normal"/>
    <w:link w:val="FootnoteReference"/>
    <w:uiPriority w:val="99"/>
    <w:rsid w:val="007F558E"/>
    <w:pPr>
      <w:autoSpaceDE w:val="0"/>
      <w:autoSpaceDN w:val="0"/>
      <w:spacing w:after="160" w:line="240" w:lineRule="exact"/>
      <w:jc w:val="both"/>
    </w:pPr>
    <w:rPr>
      <w:vertAlign w:val="superscript"/>
    </w:rPr>
  </w:style>
  <w:style w:type="paragraph" w:customStyle="1" w:styleId="sti-art">
    <w:name w:val="sti-art"/>
    <w:basedOn w:val="Normal"/>
    <w:rsid w:val="007F558E"/>
    <w:pPr>
      <w:spacing w:before="100" w:beforeAutospacing="1" w:after="100" w:afterAutospacing="1" w:line="240" w:lineRule="auto"/>
    </w:pPr>
    <w:rPr>
      <w:rFonts w:ascii="Times" w:hAnsi="Times"/>
      <w:sz w:val="20"/>
      <w:szCs w:val="20"/>
    </w:rPr>
  </w:style>
  <w:style w:type="character" w:styleId="FollowedHyperlink">
    <w:name w:val="FollowedHyperlink"/>
    <w:basedOn w:val="DefaultParagraphFont"/>
    <w:uiPriority w:val="99"/>
    <w:semiHidden/>
    <w:unhideWhenUsed/>
    <w:rsid w:val="006C138E"/>
    <w:rPr>
      <w:color w:val="800080" w:themeColor="followedHyperlink"/>
      <w:u w:val="single"/>
    </w:rPr>
  </w:style>
  <w:style w:type="character" w:customStyle="1" w:styleId="Heading2Char">
    <w:name w:val="Heading 2 Char"/>
    <w:basedOn w:val="DefaultParagraphFont"/>
    <w:link w:val="Heading2"/>
    <w:uiPriority w:val="9"/>
    <w:rsid w:val="006C138E"/>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165F8C"/>
    <w:rPr>
      <w:b/>
      <w:bCs/>
    </w:rPr>
  </w:style>
  <w:style w:type="table" w:styleId="TableGrid">
    <w:name w:val="Table Grid"/>
    <w:basedOn w:val="TableNormal"/>
    <w:uiPriority w:val="59"/>
    <w:rsid w:val="0011793B"/>
    <w:pPr>
      <w:spacing w:after="0" w:line="240" w:lineRule="auto"/>
    </w:pPr>
    <w:rPr>
      <w:rFonts w:ascii="Arial" w:eastAsiaTheme="minorEastAsia" w:hAnsi="Arial" w:cs="Arial"/>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86FF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6FF1"/>
    <w:rPr>
      <w:rFonts w:ascii="Lucida Grande" w:hAnsi="Lucida Grande" w:cs="Lucida Grande"/>
      <w:sz w:val="18"/>
      <w:szCs w:val="18"/>
    </w:rPr>
  </w:style>
  <w:style w:type="paragraph" w:customStyle="1" w:styleId="c02alineaalta">
    <w:name w:val="c02alineaalta"/>
    <w:basedOn w:val="Normal"/>
    <w:rsid w:val="001A007F"/>
    <w:pPr>
      <w:spacing w:before="100" w:beforeAutospacing="1" w:after="100" w:afterAutospacing="1" w:line="240" w:lineRule="auto"/>
    </w:pPr>
    <w:rPr>
      <w:rFonts w:ascii="Times" w:hAnsi="Times"/>
      <w:sz w:val="20"/>
      <w:szCs w:val="20"/>
    </w:rPr>
  </w:style>
  <w:style w:type="paragraph" w:customStyle="1" w:styleId="c01pointnumerotealtn">
    <w:name w:val="c01pointnumerotealtn"/>
    <w:basedOn w:val="Normal"/>
    <w:rsid w:val="00AD3D05"/>
    <w:pPr>
      <w:spacing w:before="100" w:beforeAutospacing="1" w:after="100" w:afterAutospacing="1" w:line="240" w:lineRule="auto"/>
    </w:pPr>
    <w:rPr>
      <w:rFonts w:ascii="Times" w:hAnsi="Times"/>
      <w:sz w:val="20"/>
      <w:szCs w:val="20"/>
    </w:rPr>
  </w:style>
  <w:style w:type="paragraph" w:styleId="BodyText">
    <w:name w:val="Body Text"/>
    <w:basedOn w:val="Normal"/>
    <w:link w:val="BodyTextChar"/>
    <w:rsid w:val="00AD3D05"/>
    <w:pPr>
      <w:spacing w:after="0" w:line="240" w:lineRule="auto"/>
    </w:pPr>
    <w:rPr>
      <w:rFonts w:ascii="Times New Roman" w:eastAsia="Times New Roman" w:hAnsi="Times New Roman" w:cs="Times New Roman"/>
      <w:b/>
      <w:bCs/>
      <w:sz w:val="24"/>
      <w:szCs w:val="24"/>
      <w:lang w:val="en-GB"/>
    </w:rPr>
  </w:style>
  <w:style w:type="character" w:customStyle="1" w:styleId="BodyTextChar">
    <w:name w:val="Body Text Char"/>
    <w:basedOn w:val="DefaultParagraphFont"/>
    <w:link w:val="BodyText"/>
    <w:rsid w:val="00AD3D05"/>
    <w:rPr>
      <w:rFonts w:ascii="Times New Roman" w:eastAsia="Times New Roman" w:hAnsi="Times New Roman" w:cs="Times New Roman"/>
      <w:b/>
      <w:bCs/>
      <w:sz w:val="24"/>
      <w:szCs w:val="24"/>
      <w:lang w:val="en-GB"/>
    </w:rPr>
  </w:style>
  <w:style w:type="character" w:customStyle="1" w:styleId="documentbody">
    <w:name w:val="documentbody"/>
    <w:basedOn w:val="DefaultParagraphFont"/>
    <w:rsid w:val="00AD3D05"/>
  </w:style>
  <w:style w:type="character" w:customStyle="1" w:styleId="ft">
    <w:name w:val="ft"/>
    <w:basedOn w:val="DefaultParagraphFont"/>
    <w:rsid w:val="00AD3D05"/>
  </w:style>
  <w:style w:type="paragraph" w:styleId="ListParagraph">
    <w:name w:val="List Paragraph"/>
    <w:basedOn w:val="Normal"/>
    <w:uiPriority w:val="34"/>
    <w:qFormat/>
    <w:rsid w:val="00B7258E"/>
    <w:pPr>
      <w:ind w:left="720"/>
      <w:contextualSpacing/>
    </w:pPr>
  </w:style>
  <w:style w:type="paragraph" w:styleId="DocumentMap">
    <w:name w:val="Document Map"/>
    <w:basedOn w:val="Normal"/>
    <w:link w:val="DocumentMapChar"/>
    <w:uiPriority w:val="99"/>
    <w:semiHidden/>
    <w:unhideWhenUsed/>
    <w:rsid w:val="00E357CF"/>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357CF"/>
    <w:rPr>
      <w:rFonts w:ascii="Lucida Grande" w:hAnsi="Lucida Grande" w:cs="Lucida Grande"/>
      <w:sz w:val="24"/>
      <w:szCs w:val="24"/>
    </w:rPr>
  </w:style>
  <w:style w:type="character" w:customStyle="1" w:styleId="sb8d990e2">
    <w:name w:val="sb8d990e2"/>
    <w:rsid w:val="00937708"/>
  </w:style>
  <w:style w:type="character" w:customStyle="1" w:styleId="affairetitle">
    <w:name w:val="affaire_title"/>
    <w:basedOn w:val="DefaultParagraphFont"/>
    <w:rsid w:val="00C30198"/>
  </w:style>
  <w:style w:type="character" w:customStyle="1" w:styleId="link-size">
    <w:name w:val="link-size"/>
    <w:basedOn w:val="DefaultParagraphFont"/>
    <w:rsid w:val="00C65F6D"/>
  </w:style>
  <w:style w:type="paragraph" w:customStyle="1" w:styleId="letter">
    <w:name w:val="letter"/>
    <w:basedOn w:val="Normal"/>
    <w:rsid w:val="006A07F2"/>
    <w:pPr>
      <w:spacing w:before="100" w:beforeAutospacing="1" w:after="100" w:afterAutospacing="1" w:line="240" w:lineRule="auto"/>
    </w:pPr>
    <w:rPr>
      <w:rFonts w:ascii="Times" w:eastAsiaTheme="minorEastAsia" w:hAnsi="Times" w:cs="Arial"/>
      <w:sz w:val="20"/>
      <w:szCs w:val="20"/>
    </w:rPr>
  </w:style>
  <w:style w:type="character" w:styleId="Emphasis">
    <w:name w:val="Emphasis"/>
    <w:basedOn w:val="DefaultParagraphFont"/>
    <w:uiPriority w:val="20"/>
    <w:qFormat/>
    <w:rsid w:val="00941DD6"/>
    <w:rPr>
      <w:i/>
      <w:iCs/>
    </w:rPr>
  </w:style>
  <w:style w:type="paragraph" w:customStyle="1" w:styleId="JuPara">
    <w:name w:val="Ju_Para"/>
    <w:basedOn w:val="Normal"/>
    <w:link w:val="JuParaCar"/>
    <w:rsid w:val="006B23DD"/>
    <w:pPr>
      <w:spacing w:after="0" w:line="240" w:lineRule="auto"/>
      <w:ind w:firstLine="284"/>
      <w:jc w:val="both"/>
    </w:pPr>
    <w:rPr>
      <w:rFonts w:ascii="Times New Roman" w:eastAsia="Times New Roman" w:hAnsi="Times New Roman" w:cs="Times New Roman"/>
      <w:sz w:val="24"/>
      <w:szCs w:val="20"/>
      <w:lang w:val="en-GB" w:eastAsia="fr-FR"/>
    </w:rPr>
  </w:style>
  <w:style w:type="character" w:customStyle="1" w:styleId="JuParaCar">
    <w:name w:val="Ju_Para Car"/>
    <w:basedOn w:val="DefaultParagraphFont"/>
    <w:link w:val="JuPara"/>
    <w:rsid w:val="006B23DD"/>
    <w:rPr>
      <w:rFonts w:ascii="Times New Roman" w:eastAsia="Times New Roman" w:hAnsi="Times New Roman" w:cs="Times New Roman"/>
      <w:sz w:val="24"/>
      <w:szCs w:val="20"/>
      <w:lang w:val="en-GB" w:eastAsia="fr-FR"/>
    </w:rPr>
  </w:style>
  <w:style w:type="paragraph" w:customStyle="1" w:styleId="JuQuot">
    <w:name w:val="Ju_Quot"/>
    <w:basedOn w:val="JuPara"/>
    <w:rsid w:val="0048325B"/>
    <w:pPr>
      <w:spacing w:before="120" w:after="120"/>
      <w:ind w:left="425" w:firstLine="142"/>
    </w:pPr>
    <w:rPr>
      <w:sz w:val="20"/>
    </w:rPr>
  </w:style>
  <w:style w:type="paragraph" w:styleId="Header">
    <w:name w:val="header"/>
    <w:basedOn w:val="Normal"/>
    <w:link w:val="HeaderChar"/>
    <w:uiPriority w:val="99"/>
    <w:unhideWhenUsed/>
    <w:rsid w:val="00303E3D"/>
    <w:pPr>
      <w:tabs>
        <w:tab w:val="center" w:pos="4320"/>
        <w:tab w:val="right" w:pos="8640"/>
      </w:tabs>
      <w:spacing w:after="0" w:line="240" w:lineRule="auto"/>
    </w:pPr>
  </w:style>
  <w:style w:type="character" w:customStyle="1" w:styleId="HeaderChar">
    <w:name w:val="Header Char"/>
    <w:basedOn w:val="DefaultParagraphFont"/>
    <w:link w:val="Header"/>
    <w:uiPriority w:val="99"/>
    <w:rsid w:val="00303E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uiPriority="0"/>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58E"/>
  </w:style>
  <w:style w:type="paragraph" w:styleId="Heading1">
    <w:name w:val="heading 1"/>
    <w:basedOn w:val="Normal"/>
    <w:next w:val="Normal"/>
    <w:link w:val="Heading1Char"/>
    <w:uiPriority w:val="9"/>
    <w:qFormat/>
    <w:rsid w:val="007F55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C13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F558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558E"/>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7F558E"/>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7F558E"/>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FootnoteText">
    <w:name w:val="footnote text"/>
    <w:aliases w:val="*Footnote Text,Footnote reference,FA Fu,Footnote Text Char Char Char Char Char,Footnote Text Char Char Char Char,Footnote,5_G,Footnote Text Char Char Char,footnote,footnotes,Footnote Text Char2 Char,Footnote Text Char Char1 Char,Texto,o"/>
    <w:basedOn w:val="Normal"/>
    <w:link w:val="FootnoteTextChar"/>
    <w:unhideWhenUsed/>
    <w:qFormat/>
    <w:rsid w:val="007F558E"/>
    <w:pPr>
      <w:spacing w:after="0" w:line="240" w:lineRule="auto"/>
    </w:pPr>
    <w:rPr>
      <w:sz w:val="20"/>
      <w:szCs w:val="20"/>
    </w:rPr>
  </w:style>
  <w:style w:type="character" w:customStyle="1" w:styleId="FootnoteTextChar">
    <w:name w:val="Footnote Text Char"/>
    <w:aliases w:val="*Footnote Text Char,Footnote reference Char,FA Fu Char,Footnote Text Char Char Char Char Char Char,Footnote Text Char Char Char Char Char1,Footnote Char,5_G Char,Footnote Text Char Char Char Char1,footnote Char,footnotes Char,o Char"/>
    <w:basedOn w:val="DefaultParagraphFont"/>
    <w:link w:val="FootnoteText"/>
    <w:rsid w:val="007F558E"/>
    <w:rPr>
      <w:sz w:val="20"/>
      <w:szCs w:val="20"/>
    </w:rPr>
  </w:style>
  <w:style w:type="character" w:styleId="FootnoteReference">
    <w:name w:val="footnote reference"/>
    <w:aliases w:val="Footnotes refss,Style 10,*Footnote Reference,Appel note de bas de p.,Footnote Refernece,Car Char Car Char Car Char Char Char Char Char Char Char Char,Footnote Refernece Char Char1,Footnote Refernece Char Char Char Char Char Char,4_G"/>
    <w:basedOn w:val="DefaultParagraphFont"/>
    <w:link w:val="CarCharCarCharCarCharCharCharCharCharCharChar"/>
    <w:unhideWhenUsed/>
    <w:qFormat/>
    <w:rsid w:val="007F558E"/>
    <w:rPr>
      <w:vertAlign w:val="superscript"/>
    </w:rPr>
  </w:style>
  <w:style w:type="character" w:styleId="Hyperlink">
    <w:name w:val="Hyperlink"/>
    <w:basedOn w:val="DefaultParagraphFont"/>
    <w:uiPriority w:val="99"/>
    <w:unhideWhenUsed/>
    <w:rsid w:val="007F558E"/>
    <w:rPr>
      <w:color w:val="0000FF" w:themeColor="hyperlink"/>
      <w:u w:val="single"/>
    </w:rPr>
  </w:style>
  <w:style w:type="paragraph" w:styleId="Title">
    <w:name w:val="Title"/>
    <w:basedOn w:val="Normal"/>
    <w:next w:val="Normal"/>
    <w:link w:val="TitleChar"/>
    <w:uiPriority w:val="10"/>
    <w:qFormat/>
    <w:rsid w:val="007F558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F558E"/>
    <w:rPr>
      <w:rFonts w:asciiTheme="majorHAnsi" w:eastAsiaTheme="majorEastAsia" w:hAnsiTheme="majorHAnsi" w:cstheme="majorBidi"/>
      <w:color w:val="17365D" w:themeColor="text2" w:themeShade="BF"/>
      <w:spacing w:val="5"/>
      <w:kern w:val="28"/>
      <w:sz w:val="52"/>
      <w:szCs w:val="52"/>
    </w:rPr>
  </w:style>
  <w:style w:type="paragraph" w:styleId="Footer">
    <w:name w:val="footer"/>
    <w:basedOn w:val="Normal"/>
    <w:link w:val="FooterChar"/>
    <w:unhideWhenUsed/>
    <w:rsid w:val="007F558E"/>
    <w:pPr>
      <w:tabs>
        <w:tab w:val="center" w:pos="4513"/>
        <w:tab w:val="right" w:pos="9026"/>
      </w:tabs>
      <w:spacing w:after="0" w:line="240" w:lineRule="auto"/>
    </w:pPr>
  </w:style>
  <w:style w:type="character" w:customStyle="1" w:styleId="FooterChar">
    <w:name w:val="Footer Char"/>
    <w:basedOn w:val="DefaultParagraphFont"/>
    <w:link w:val="Footer"/>
    <w:rsid w:val="007F558E"/>
  </w:style>
  <w:style w:type="paragraph" w:customStyle="1" w:styleId="CarCharCarCharCarCharCharCharCharCharCharChar">
    <w:name w:val="Car Char Car Char Car Char Char Char Char Char Char Char"/>
    <w:aliases w:val="Footnote Refernece Char,Footnote Refernece Char Char Char Char"/>
    <w:basedOn w:val="Normal"/>
    <w:link w:val="FootnoteReference"/>
    <w:uiPriority w:val="99"/>
    <w:rsid w:val="007F558E"/>
    <w:pPr>
      <w:autoSpaceDE w:val="0"/>
      <w:autoSpaceDN w:val="0"/>
      <w:spacing w:after="160" w:line="240" w:lineRule="exact"/>
      <w:jc w:val="both"/>
    </w:pPr>
    <w:rPr>
      <w:vertAlign w:val="superscript"/>
    </w:rPr>
  </w:style>
  <w:style w:type="paragraph" w:customStyle="1" w:styleId="sti-art">
    <w:name w:val="sti-art"/>
    <w:basedOn w:val="Normal"/>
    <w:rsid w:val="007F558E"/>
    <w:pPr>
      <w:spacing w:before="100" w:beforeAutospacing="1" w:after="100" w:afterAutospacing="1" w:line="240" w:lineRule="auto"/>
    </w:pPr>
    <w:rPr>
      <w:rFonts w:ascii="Times" w:hAnsi="Times"/>
      <w:sz w:val="20"/>
      <w:szCs w:val="20"/>
    </w:rPr>
  </w:style>
  <w:style w:type="character" w:styleId="FollowedHyperlink">
    <w:name w:val="FollowedHyperlink"/>
    <w:basedOn w:val="DefaultParagraphFont"/>
    <w:uiPriority w:val="99"/>
    <w:semiHidden/>
    <w:unhideWhenUsed/>
    <w:rsid w:val="006C138E"/>
    <w:rPr>
      <w:color w:val="800080" w:themeColor="followedHyperlink"/>
      <w:u w:val="single"/>
    </w:rPr>
  </w:style>
  <w:style w:type="character" w:customStyle="1" w:styleId="Heading2Char">
    <w:name w:val="Heading 2 Char"/>
    <w:basedOn w:val="DefaultParagraphFont"/>
    <w:link w:val="Heading2"/>
    <w:uiPriority w:val="9"/>
    <w:rsid w:val="006C138E"/>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165F8C"/>
    <w:rPr>
      <w:b/>
      <w:bCs/>
    </w:rPr>
  </w:style>
  <w:style w:type="table" w:styleId="TableGrid">
    <w:name w:val="Table Grid"/>
    <w:basedOn w:val="TableNormal"/>
    <w:uiPriority w:val="59"/>
    <w:rsid w:val="0011793B"/>
    <w:pPr>
      <w:spacing w:after="0" w:line="240" w:lineRule="auto"/>
    </w:pPr>
    <w:rPr>
      <w:rFonts w:ascii="Arial" w:eastAsiaTheme="minorEastAsia" w:hAnsi="Arial" w:cs="Arial"/>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86FF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6FF1"/>
    <w:rPr>
      <w:rFonts w:ascii="Lucida Grande" w:hAnsi="Lucida Grande" w:cs="Lucida Grande"/>
      <w:sz w:val="18"/>
      <w:szCs w:val="18"/>
    </w:rPr>
  </w:style>
  <w:style w:type="paragraph" w:customStyle="1" w:styleId="c02alineaalta">
    <w:name w:val="c02alineaalta"/>
    <w:basedOn w:val="Normal"/>
    <w:rsid w:val="001A007F"/>
    <w:pPr>
      <w:spacing w:before="100" w:beforeAutospacing="1" w:after="100" w:afterAutospacing="1" w:line="240" w:lineRule="auto"/>
    </w:pPr>
    <w:rPr>
      <w:rFonts w:ascii="Times" w:hAnsi="Times"/>
      <w:sz w:val="20"/>
      <w:szCs w:val="20"/>
    </w:rPr>
  </w:style>
  <w:style w:type="paragraph" w:customStyle="1" w:styleId="c01pointnumerotealtn">
    <w:name w:val="c01pointnumerotealtn"/>
    <w:basedOn w:val="Normal"/>
    <w:rsid w:val="00AD3D05"/>
    <w:pPr>
      <w:spacing w:before="100" w:beforeAutospacing="1" w:after="100" w:afterAutospacing="1" w:line="240" w:lineRule="auto"/>
    </w:pPr>
    <w:rPr>
      <w:rFonts w:ascii="Times" w:hAnsi="Times"/>
      <w:sz w:val="20"/>
      <w:szCs w:val="20"/>
    </w:rPr>
  </w:style>
  <w:style w:type="paragraph" w:styleId="BodyText">
    <w:name w:val="Body Text"/>
    <w:basedOn w:val="Normal"/>
    <w:link w:val="BodyTextChar"/>
    <w:rsid w:val="00AD3D05"/>
    <w:pPr>
      <w:spacing w:after="0" w:line="240" w:lineRule="auto"/>
    </w:pPr>
    <w:rPr>
      <w:rFonts w:ascii="Times New Roman" w:eastAsia="Times New Roman" w:hAnsi="Times New Roman" w:cs="Times New Roman"/>
      <w:b/>
      <w:bCs/>
      <w:sz w:val="24"/>
      <w:szCs w:val="24"/>
      <w:lang w:val="en-GB"/>
    </w:rPr>
  </w:style>
  <w:style w:type="character" w:customStyle="1" w:styleId="BodyTextChar">
    <w:name w:val="Body Text Char"/>
    <w:basedOn w:val="DefaultParagraphFont"/>
    <w:link w:val="BodyText"/>
    <w:rsid w:val="00AD3D05"/>
    <w:rPr>
      <w:rFonts w:ascii="Times New Roman" w:eastAsia="Times New Roman" w:hAnsi="Times New Roman" w:cs="Times New Roman"/>
      <w:b/>
      <w:bCs/>
      <w:sz w:val="24"/>
      <w:szCs w:val="24"/>
      <w:lang w:val="en-GB"/>
    </w:rPr>
  </w:style>
  <w:style w:type="character" w:customStyle="1" w:styleId="documentbody">
    <w:name w:val="documentbody"/>
    <w:basedOn w:val="DefaultParagraphFont"/>
    <w:rsid w:val="00AD3D05"/>
  </w:style>
  <w:style w:type="character" w:customStyle="1" w:styleId="ft">
    <w:name w:val="ft"/>
    <w:basedOn w:val="DefaultParagraphFont"/>
    <w:rsid w:val="00AD3D05"/>
  </w:style>
  <w:style w:type="paragraph" w:styleId="ListParagraph">
    <w:name w:val="List Paragraph"/>
    <w:basedOn w:val="Normal"/>
    <w:uiPriority w:val="34"/>
    <w:qFormat/>
    <w:rsid w:val="00B7258E"/>
    <w:pPr>
      <w:ind w:left="720"/>
      <w:contextualSpacing/>
    </w:pPr>
  </w:style>
  <w:style w:type="paragraph" w:styleId="DocumentMap">
    <w:name w:val="Document Map"/>
    <w:basedOn w:val="Normal"/>
    <w:link w:val="DocumentMapChar"/>
    <w:uiPriority w:val="99"/>
    <w:semiHidden/>
    <w:unhideWhenUsed/>
    <w:rsid w:val="00E357CF"/>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357CF"/>
    <w:rPr>
      <w:rFonts w:ascii="Lucida Grande" w:hAnsi="Lucida Grande" w:cs="Lucida Grande"/>
      <w:sz w:val="24"/>
      <w:szCs w:val="24"/>
    </w:rPr>
  </w:style>
  <w:style w:type="character" w:customStyle="1" w:styleId="sb8d990e2">
    <w:name w:val="sb8d990e2"/>
    <w:rsid w:val="00937708"/>
  </w:style>
  <w:style w:type="character" w:customStyle="1" w:styleId="affairetitle">
    <w:name w:val="affaire_title"/>
    <w:basedOn w:val="DefaultParagraphFont"/>
    <w:rsid w:val="00C30198"/>
  </w:style>
  <w:style w:type="character" w:customStyle="1" w:styleId="link-size">
    <w:name w:val="link-size"/>
    <w:basedOn w:val="DefaultParagraphFont"/>
    <w:rsid w:val="00C65F6D"/>
  </w:style>
  <w:style w:type="paragraph" w:customStyle="1" w:styleId="letter">
    <w:name w:val="letter"/>
    <w:basedOn w:val="Normal"/>
    <w:rsid w:val="006A07F2"/>
    <w:pPr>
      <w:spacing w:before="100" w:beforeAutospacing="1" w:after="100" w:afterAutospacing="1" w:line="240" w:lineRule="auto"/>
    </w:pPr>
    <w:rPr>
      <w:rFonts w:ascii="Times" w:eastAsiaTheme="minorEastAsia" w:hAnsi="Times" w:cs="Arial"/>
      <w:sz w:val="20"/>
      <w:szCs w:val="20"/>
    </w:rPr>
  </w:style>
  <w:style w:type="character" w:styleId="Emphasis">
    <w:name w:val="Emphasis"/>
    <w:basedOn w:val="DefaultParagraphFont"/>
    <w:uiPriority w:val="20"/>
    <w:qFormat/>
    <w:rsid w:val="00941DD6"/>
    <w:rPr>
      <w:i/>
      <w:iCs/>
    </w:rPr>
  </w:style>
  <w:style w:type="paragraph" w:customStyle="1" w:styleId="JuPara">
    <w:name w:val="Ju_Para"/>
    <w:basedOn w:val="Normal"/>
    <w:link w:val="JuParaCar"/>
    <w:rsid w:val="006B23DD"/>
    <w:pPr>
      <w:spacing w:after="0" w:line="240" w:lineRule="auto"/>
      <w:ind w:firstLine="284"/>
      <w:jc w:val="both"/>
    </w:pPr>
    <w:rPr>
      <w:rFonts w:ascii="Times New Roman" w:eastAsia="Times New Roman" w:hAnsi="Times New Roman" w:cs="Times New Roman"/>
      <w:sz w:val="24"/>
      <w:szCs w:val="20"/>
      <w:lang w:val="en-GB" w:eastAsia="fr-FR"/>
    </w:rPr>
  </w:style>
  <w:style w:type="character" w:customStyle="1" w:styleId="JuParaCar">
    <w:name w:val="Ju_Para Car"/>
    <w:basedOn w:val="DefaultParagraphFont"/>
    <w:link w:val="JuPara"/>
    <w:rsid w:val="006B23DD"/>
    <w:rPr>
      <w:rFonts w:ascii="Times New Roman" w:eastAsia="Times New Roman" w:hAnsi="Times New Roman" w:cs="Times New Roman"/>
      <w:sz w:val="24"/>
      <w:szCs w:val="20"/>
      <w:lang w:val="en-GB" w:eastAsia="fr-FR"/>
    </w:rPr>
  </w:style>
  <w:style w:type="paragraph" w:customStyle="1" w:styleId="JuQuot">
    <w:name w:val="Ju_Quot"/>
    <w:basedOn w:val="JuPara"/>
    <w:rsid w:val="0048325B"/>
    <w:pPr>
      <w:spacing w:before="120" w:after="120"/>
      <w:ind w:left="425" w:firstLine="142"/>
    </w:pPr>
    <w:rPr>
      <w:sz w:val="20"/>
    </w:rPr>
  </w:style>
  <w:style w:type="paragraph" w:styleId="Header">
    <w:name w:val="header"/>
    <w:basedOn w:val="Normal"/>
    <w:link w:val="HeaderChar"/>
    <w:uiPriority w:val="99"/>
    <w:unhideWhenUsed/>
    <w:rsid w:val="00303E3D"/>
    <w:pPr>
      <w:tabs>
        <w:tab w:val="center" w:pos="4320"/>
        <w:tab w:val="right" w:pos="8640"/>
      </w:tabs>
      <w:spacing w:after="0" w:line="240" w:lineRule="auto"/>
    </w:pPr>
  </w:style>
  <w:style w:type="character" w:customStyle="1" w:styleId="HeaderChar">
    <w:name w:val="Header Char"/>
    <w:basedOn w:val="DefaultParagraphFont"/>
    <w:link w:val="Header"/>
    <w:uiPriority w:val="99"/>
    <w:rsid w:val="00303E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6769">
      <w:bodyDiv w:val="1"/>
      <w:marLeft w:val="0"/>
      <w:marRight w:val="0"/>
      <w:marTop w:val="0"/>
      <w:marBottom w:val="0"/>
      <w:divBdr>
        <w:top w:val="none" w:sz="0" w:space="0" w:color="auto"/>
        <w:left w:val="none" w:sz="0" w:space="0" w:color="auto"/>
        <w:bottom w:val="none" w:sz="0" w:space="0" w:color="auto"/>
        <w:right w:val="none" w:sz="0" w:space="0" w:color="auto"/>
      </w:divBdr>
      <w:divsChild>
        <w:div w:id="398332877">
          <w:marLeft w:val="0"/>
          <w:marRight w:val="0"/>
          <w:marTop w:val="0"/>
          <w:marBottom w:val="0"/>
          <w:divBdr>
            <w:top w:val="none" w:sz="0" w:space="0" w:color="auto"/>
            <w:left w:val="none" w:sz="0" w:space="0" w:color="auto"/>
            <w:bottom w:val="none" w:sz="0" w:space="0" w:color="auto"/>
            <w:right w:val="none" w:sz="0" w:space="0" w:color="auto"/>
          </w:divBdr>
        </w:div>
        <w:div w:id="873731363">
          <w:marLeft w:val="0"/>
          <w:marRight w:val="0"/>
          <w:marTop w:val="0"/>
          <w:marBottom w:val="0"/>
          <w:divBdr>
            <w:top w:val="none" w:sz="0" w:space="0" w:color="auto"/>
            <w:left w:val="none" w:sz="0" w:space="0" w:color="auto"/>
            <w:bottom w:val="none" w:sz="0" w:space="0" w:color="auto"/>
            <w:right w:val="none" w:sz="0" w:space="0" w:color="auto"/>
          </w:divBdr>
        </w:div>
        <w:div w:id="1804422266">
          <w:marLeft w:val="0"/>
          <w:marRight w:val="0"/>
          <w:marTop w:val="0"/>
          <w:marBottom w:val="0"/>
          <w:divBdr>
            <w:top w:val="none" w:sz="0" w:space="0" w:color="auto"/>
            <w:left w:val="none" w:sz="0" w:space="0" w:color="auto"/>
            <w:bottom w:val="none" w:sz="0" w:space="0" w:color="auto"/>
            <w:right w:val="none" w:sz="0" w:space="0" w:color="auto"/>
          </w:divBdr>
        </w:div>
      </w:divsChild>
    </w:div>
    <w:div w:id="21899904">
      <w:bodyDiv w:val="1"/>
      <w:marLeft w:val="0"/>
      <w:marRight w:val="0"/>
      <w:marTop w:val="0"/>
      <w:marBottom w:val="0"/>
      <w:divBdr>
        <w:top w:val="none" w:sz="0" w:space="0" w:color="auto"/>
        <w:left w:val="none" w:sz="0" w:space="0" w:color="auto"/>
        <w:bottom w:val="none" w:sz="0" w:space="0" w:color="auto"/>
        <w:right w:val="none" w:sz="0" w:space="0" w:color="auto"/>
      </w:divBdr>
      <w:divsChild>
        <w:div w:id="1766148143">
          <w:marLeft w:val="0"/>
          <w:marRight w:val="0"/>
          <w:marTop w:val="0"/>
          <w:marBottom w:val="0"/>
          <w:divBdr>
            <w:top w:val="none" w:sz="0" w:space="0" w:color="auto"/>
            <w:left w:val="none" w:sz="0" w:space="0" w:color="auto"/>
            <w:bottom w:val="none" w:sz="0" w:space="0" w:color="auto"/>
            <w:right w:val="none" w:sz="0" w:space="0" w:color="auto"/>
          </w:divBdr>
        </w:div>
        <w:div w:id="1877114862">
          <w:marLeft w:val="0"/>
          <w:marRight w:val="0"/>
          <w:marTop w:val="0"/>
          <w:marBottom w:val="0"/>
          <w:divBdr>
            <w:top w:val="none" w:sz="0" w:space="0" w:color="auto"/>
            <w:left w:val="none" w:sz="0" w:space="0" w:color="auto"/>
            <w:bottom w:val="none" w:sz="0" w:space="0" w:color="auto"/>
            <w:right w:val="none" w:sz="0" w:space="0" w:color="auto"/>
          </w:divBdr>
          <w:divsChild>
            <w:div w:id="184354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2125">
      <w:bodyDiv w:val="1"/>
      <w:marLeft w:val="0"/>
      <w:marRight w:val="0"/>
      <w:marTop w:val="0"/>
      <w:marBottom w:val="0"/>
      <w:divBdr>
        <w:top w:val="none" w:sz="0" w:space="0" w:color="auto"/>
        <w:left w:val="none" w:sz="0" w:space="0" w:color="auto"/>
        <w:bottom w:val="none" w:sz="0" w:space="0" w:color="auto"/>
        <w:right w:val="none" w:sz="0" w:space="0" w:color="auto"/>
      </w:divBdr>
    </w:div>
    <w:div w:id="129059544">
      <w:bodyDiv w:val="1"/>
      <w:marLeft w:val="0"/>
      <w:marRight w:val="0"/>
      <w:marTop w:val="0"/>
      <w:marBottom w:val="0"/>
      <w:divBdr>
        <w:top w:val="none" w:sz="0" w:space="0" w:color="auto"/>
        <w:left w:val="none" w:sz="0" w:space="0" w:color="auto"/>
        <w:bottom w:val="none" w:sz="0" w:space="0" w:color="auto"/>
        <w:right w:val="none" w:sz="0" w:space="0" w:color="auto"/>
      </w:divBdr>
    </w:div>
    <w:div w:id="253519521">
      <w:bodyDiv w:val="1"/>
      <w:marLeft w:val="0"/>
      <w:marRight w:val="0"/>
      <w:marTop w:val="0"/>
      <w:marBottom w:val="0"/>
      <w:divBdr>
        <w:top w:val="none" w:sz="0" w:space="0" w:color="auto"/>
        <w:left w:val="none" w:sz="0" w:space="0" w:color="auto"/>
        <w:bottom w:val="none" w:sz="0" w:space="0" w:color="auto"/>
        <w:right w:val="none" w:sz="0" w:space="0" w:color="auto"/>
      </w:divBdr>
      <w:divsChild>
        <w:div w:id="1060250187">
          <w:marLeft w:val="0"/>
          <w:marRight w:val="0"/>
          <w:marTop w:val="0"/>
          <w:marBottom w:val="0"/>
          <w:divBdr>
            <w:top w:val="none" w:sz="0" w:space="0" w:color="auto"/>
            <w:left w:val="none" w:sz="0" w:space="0" w:color="auto"/>
            <w:bottom w:val="none" w:sz="0" w:space="0" w:color="auto"/>
            <w:right w:val="none" w:sz="0" w:space="0" w:color="auto"/>
          </w:divBdr>
        </w:div>
        <w:div w:id="739714750">
          <w:marLeft w:val="0"/>
          <w:marRight w:val="0"/>
          <w:marTop w:val="0"/>
          <w:marBottom w:val="0"/>
          <w:divBdr>
            <w:top w:val="none" w:sz="0" w:space="0" w:color="auto"/>
            <w:left w:val="none" w:sz="0" w:space="0" w:color="auto"/>
            <w:bottom w:val="none" w:sz="0" w:space="0" w:color="auto"/>
            <w:right w:val="none" w:sz="0" w:space="0" w:color="auto"/>
          </w:divBdr>
        </w:div>
        <w:div w:id="1580749544">
          <w:marLeft w:val="0"/>
          <w:marRight w:val="0"/>
          <w:marTop w:val="0"/>
          <w:marBottom w:val="0"/>
          <w:divBdr>
            <w:top w:val="none" w:sz="0" w:space="0" w:color="auto"/>
            <w:left w:val="none" w:sz="0" w:space="0" w:color="auto"/>
            <w:bottom w:val="none" w:sz="0" w:space="0" w:color="auto"/>
            <w:right w:val="none" w:sz="0" w:space="0" w:color="auto"/>
          </w:divBdr>
        </w:div>
        <w:div w:id="611474655">
          <w:marLeft w:val="0"/>
          <w:marRight w:val="0"/>
          <w:marTop w:val="0"/>
          <w:marBottom w:val="0"/>
          <w:divBdr>
            <w:top w:val="none" w:sz="0" w:space="0" w:color="auto"/>
            <w:left w:val="none" w:sz="0" w:space="0" w:color="auto"/>
            <w:bottom w:val="none" w:sz="0" w:space="0" w:color="auto"/>
            <w:right w:val="none" w:sz="0" w:space="0" w:color="auto"/>
          </w:divBdr>
        </w:div>
        <w:div w:id="2064789245">
          <w:marLeft w:val="0"/>
          <w:marRight w:val="0"/>
          <w:marTop w:val="0"/>
          <w:marBottom w:val="0"/>
          <w:divBdr>
            <w:top w:val="none" w:sz="0" w:space="0" w:color="auto"/>
            <w:left w:val="none" w:sz="0" w:space="0" w:color="auto"/>
            <w:bottom w:val="none" w:sz="0" w:space="0" w:color="auto"/>
            <w:right w:val="none" w:sz="0" w:space="0" w:color="auto"/>
          </w:divBdr>
        </w:div>
        <w:div w:id="635375568">
          <w:marLeft w:val="0"/>
          <w:marRight w:val="0"/>
          <w:marTop w:val="0"/>
          <w:marBottom w:val="0"/>
          <w:divBdr>
            <w:top w:val="none" w:sz="0" w:space="0" w:color="auto"/>
            <w:left w:val="none" w:sz="0" w:space="0" w:color="auto"/>
            <w:bottom w:val="none" w:sz="0" w:space="0" w:color="auto"/>
            <w:right w:val="none" w:sz="0" w:space="0" w:color="auto"/>
          </w:divBdr>
        </w:div>
        <w:div w:id="418333346">
          <w:marLeft w:val="0"/>
          <w:marRight w:val="0"/>
          <w:marTop w:val="0"/>
          <w:marBottom w:val="0"/>
          <w:divBdr>
            <w:top w:val="none" w:sz="0" w:space="0" w:color="auto"/>
            <w:left w:val="none" w:sz="0" w:space="0" w:color="auto"/>
            <w:bottom w:val="none" w:sz="0" w:space="0" w:color="auto"/>
            <w:right w:val="none" w:sz="0" w:space="0" w:color="auto"/>
          </w:divBdr>
        </w:div>
        <w:div w:id="1320381970">
          <w:marLeft w:val="0"/>
          <w:marRight w:val="0"/>
          <w:marTop w:val="0"/>
          <w:marBottom w:val="0"/>
          <w:divBdr>
            <w:top w:val="none" w:sz="0" w:space="0" w:color="auto"/>
            <w:left w:val="none" w:sz="0" w:space="0" w:color="auto"/>
            <w:bottom w:val="none" w:sz="0" w:space="0" w:color="auto"/>
            <w:right w:val="none" w:sz="0" w:space="0" w:color="auto"/>
          </w:divBdr>
        </w:div>
        <w:div w:id="1190413645">
          <w:marLeft w:val="0"/>
          <w:marRight w:val="0"/>
          <w:marTop w:val="0"/>
          <w:marBottom w:val="0"/>
          <w:divBdr>
            <w:top w:val="none" w:sz="0" w:space="0" w:color="auto"/>
            <w:left w:val="none" w:sz="0" w:space="0" w:color="auto"/>
            <w:bottom w:val="none" w:sz="0" w:space="0" w:color="auto"/>
            <w:right w:val="none" w:sz="0" w:space="0" w:color="auto"/>
          </w:divBdr>
        </w:div>
        <w:div w:id="789975933">
          <w:marLeft w:val="0"/>
          <w:marRight w:val="0"/>
          <w:marTop w:val="0"/>
          <w:marBottom w:val="0"/>
          <w:divBdr>
            <w:top w:val="none" w:sz="0" w:space="0" w:color="auto"/>
            <w:left w:val="none" w:sz="0" w:space="0" w:color="auto"/>
            <w:bottom w:val="none" w:sz="0" w:space="0" w:color="auto"/>
            <w:right w:val="none" w:sz="0" w:space="0" w:color="auto"/>
          </w:divBdr>
        </w:div>
        <w:div w:id="523246742">
          <w:marLeft w:val="0"/>
          <w:marRight w:val="0"/>
          <w:marTop w:val="0"/>
          <w:marBottom w:val="0"/>
          <w:divBdr>
            <w:top w:val="none" w:sz="0" w:space="0" w:color="auto"/>
            <w:left w:val="none" w:sz="0" w:space="0" w:color="auto"/>
            <w:bottom w:val="none" w:sz="0" w:space="0" w:color="auto"/>
            <w:right w:val="none" w:sz="0" w:space="0" w:color="auto"/>
          </w:divBdr>
        </w:div>
        <w:div w:id="850073057">
          <w:marLeft w:val="0"/>
          <w:marRight w:val="0"/>
          <w:marTop w:val="0"/>
          <w:marBottom w:val="0"/>
          <w:divBdr>
            <w:top w:val="none" w:sz="0" w:space="0" w:color="auto"/>
            <w:left w:val="none" w:sz="0" w:space="0" w:color="auto"/>
            <w:bottom w:val="none" w:sz="0" w:space="0" w:color="auto"/>
            <w:right w:val="none" w:sz="0" w:space="0" w:color="auto"/>
          </w:divBdr>
        </w:div>
        <w:div w:id="1869638503">
          <w:marLeft w:val="0"/>
          <w:marRight w:val="0"/>
          <w:marTop w:val="0"/>
          <w:marBottom w:val="0"/>
          <w:divBdr>
            <w:top w:val="none" w:sz="0" w:space="0" w:color="auto"/>
            <w:left w:val="none" w:sz="0" w:space="0" w:color="auto"/>
            <w:bottom w:val="none" w:sz="0" w:space="0" w:color="auto"/>
            <w:right w:val="none" w:sz="0" w:space="0" w:color="auto"/>
          </w:divBdr>
        </w:div>
        <w:div w:id="25641701">
          <w:marLeft w:val="0"/>
          <w:marRight w:val="0"/>
          <w:marTop w:val="0"/>
          <w:marBottom w:val="0"/>
          <w:divBdr>
            <w:top w:val="none" w:sz="0" w:space="0" w:color="auto"/>
            <w:left w:val="none" w:sz="0" w:space="0" w:color="auto"/>
            <w:bottom w:val="none" w:sz="0" w:space="0" w:color="auto"/>
            <w:right w:val="none" w:sz="0" w:space="0" w:color="auto"/>
          </w:divBdr>
        </w:div>
        <w:div w:id="1552572731">
          <w:marLeft w:val="0"/>
          <w:marRight w:val="0"/>
          <w:marTop w:val="0"/>
          <w:marBottom w:val="0"/>
          <w:divBdr>
            <w:top w:val="none" w:sz="0" w:space="0" w:color="auto"/>
            <w:left w:val="none" w:sz="0" w:space="0" w:color="auto"/>
            <w:bottom w:val="none" w:sz="0" w:space="0" w:color="auto"/>
            <w:right w:val="none" w:sz="0" w:space="0" w:color="auto"/>
          </w:divBdr>
        </w:div>
        <w:div w:id="1069036731">
          <w:marLeft w:val="0"/>
          <w:marRight w:val="0"/>
          <w:marTop w:val="0"/>
          <w:marBottom w:val="0"/>
          <w:divBdr>
            <w:top w:val="none" w:sz="0" w:space="0" w:color="auto"/>
            <w:left w:val="none" w:sz="0" w:space="0" w:color="auto"/>
            <w:bottom w:val="none" w:sz="0" w:space="0" w:color="auto"/>
            <w:right w:val="none" w:sz="0" w:space="0" w:color="auto"/>
          </w:divBdr>
        </w:div>
      </w:divsChild>
    </w:div>
    <w:div w:id="330909122">
      <w:bodyDiv w:val="1"/>
      <w:marLeft w:val="0"/>
      <w:marRight w:val="0"/>
      <w:marTop w:val="0"/>
      <w:marBottom w:val="0"/>
      <w:divBdr>
        <w:top w:val="none" w:sz="0" w:space="0" w:color="auto"/>
        <w:left w:val="none" w:sz="0" w:space="0" w:color="auto"/>
        <w:bottom w:val="none" w:sz="0" w:space="0" w:color="auto"/>
        <w:right w:val="none" w:sz="0" w:space="0" w:color="auto"/>
      </w:divBdr>
    </w:div>
    <w:div w:id="359747678">
      <w:bodyDiv w:val="1"/>
      <w:marLeft w:val="0"/>
      <w:marRight w:val="0"/>
      <w:marTop w:val="0"/>
      <w:marBottom w:val="0"/>
      <w:divBdr>
        <w:top w:val="none" w:sz="0" w:space="0" w:color="auto"/>
        <w:left w:val="none" w:sz="0" w:space="0" w:color="auto"/>
        <w:bottom w:val="none" w:sz="0" w:space="0" w:color="auto"/>
        <w:right w:val="none" w:sz="0" w:space="0" w:color="auto"/>
      </w:divBdr>
      <w:divsChild>
        <w:div w:id="67970337">
          <w:marLeft w:val="0"/>
          <w:marRight w:val="0"/>
          <w:marTop w:val="0"/>
          <w:marBottom w:val="0"/>
          <w:divBdr>
            <w:top w:val="none" w:sz="0" w:space="0" w:color="auto"/>
            <w:left w:val="none" w:sz="0" w:space="0" w:color="auto"/>
            <w:bottom w:val="none" w:sz="0" w:space="0" w:color="auto"/>
            <w:right w:val="none" w:sz="0" w:space="0" w:color="auto"/>
          </w:divBdr>
        </w:div>
        <w:div w:id="136337172">
          <w:marLeft w:val="0"/>
          <w:marRight w:val="0"/>
          <w:marTop w:val="0"/>
          <w:marBottom w:val="0"/>
          <w:divBdr>
            <w:top w:val="none" w:sz="0" w:space="0" w:color="auto"/>
            <w:left w:val="none" w:sz="0" w:space="0" w:color="auto"/>
            <w:bottom w:val="none" w:sz="0" w:space="0" w:color="auto"/>
            <w:right w:val="none" w:sz="0" w:space="0" w:color="auto"/>
          </w:divBdr>
        </w:div>
        <w:div w:id="290014516">
          <w:marLeft w:val="0"/>
          <w:marRight w:val="0"/>
          <w:marTop w:val="0"/>
          <w:marBottom w:val="0"/>
          <w:divBdr>
            <w:top w:val="none" w:sz="0" w:space="0" w:color="auto"/>
            <w:left w:val="none" w:sz="0" w:space="0" w:color="auto"/>
            <w:bottom w:val="none" w:sz="0" w:space="0" w:color="auto"/>
            <w:right w:val="none" w:sz="0" w:space="0" w:color="auto"/>
          </w:divBdr>
        </w:div>
        <w:div w:id="300814412">
          <w:marLeft w:val="0"/>
          <w:marRight w:val="0"/>
          <w:marTop w:val="0"/>
          <w:marBottom w:val="0"/>
          <w:divBdr>
            <w:top w:val="none" w:sz="0" w:space="0" w:color="auto"/>
            <w:left w:val="none" w:sz="0" w:space="0" w:color="auto"/>
            <w:bottom w:val="none" w:sz="0" w:space="0" w:color="auto"/>
            <w:right w:val="none" w:sz="0" w:space="0" w:color="auto"/>
          </w:divBdr>
        </w:div>
        <w:div w:id="411708283">
          <w:marLeft w:val="0"/>
          <w:marRight w:val="0"/>
          <w:marTop w:val="0"/>
          <w:marBottom w:val="0"/>
          <w:divBdr>
            <w:top w:val="none" w:sz="0" w:space="0" w:color="auto"/>
            <w:left w:val="none" w:sz="0" w:space="0" w:color="auto"/>
            <w:bottom w:val="none" w:sz="0" w:space="0" w:color="auto"/>
            <w:right w:val="none" w:sz="0" w:space="0" w:color="auto"/>
          </w:divBdr>
        </w:div>
        <w:div w:id="422653345">
          <w:marLeft w:val="0"/>
          <w:marRight w:val="0"/>
          <w:marTop w:val="0"/>
          <w:marBottom w:val="0"/>
          <w:divBdr>
            <w:top w:val="none" w:sz="0" w:space="0" w:color="auto"/>
            <w:left w:val="none" w:sz="0" w:space="0" w:color="auto"/>
            <w:bottom w:val="none" w:sz="0" w:space="0" w:color="auto"/>
            <w:right w:val="none" w:sz="0" w:space="0" w:color="auto"/>
          </w:divBdr>
        </w:div>
        <w:div w:id="609166351">
          <w:marLeft w:val="0"/>
          <w:marRight w:val="0"/>
          <w:marTop w:val="0"/>
          <w:marBottom w:val="0"/>
          <w:divBdr>
            <w:top w:val="none" w:sz="0" w:space="0" w:color="auto"/>
            <w:left w:val="none" w:sz="0" w:space="0" w:color="auto"/>
            <w:bottom w:val="none" w:sz="0" w:space="0" w:color="auto"/>
            <w:right w:val="none" w:sz="0" w:space="0" w:color="auto"/>
          </w:divBdr>
        </w:div>
        <w:div w:id="813450555">
          <w:marLeft w:val="0"/>
          <w:marRight w:val="0"/>
          <w:marTop w:val="0"/>
          <w:marBottom w:val="0"/>
          <w:divBdr>
            <w:top w:val="none" w:sz="0" w:space="0" w:color="auto"/>
            <w:left w:val="none" w:sz="0" w:space="0" w:color="auto"/>
            <w:bottom w:val="none" w:sz="0" w:space="0" w:color="auto"/>
            <w:right w:val="none" w:sz="0" w:space="0" w:color="auto"/>
          </w:divBdr>
        </w:div>
        <w:div w:id="987397863">
          <w:marLeft w:val="0"/>
          <w:marRight w:val="0"/>
          <w:marTop w:val="0"/>
          <w:marBottom w:val="0"/>
          <w:divBdr>
            <w:top w:val="none" w:sz="0" w:space="0" w:color="auto"/>
            <w:left w:val="none" w:sz="0" w:space="0" w:color="auto"/>
            <w:bottom w:val="none" w:sz="0" w:space="0" w:color="auto"/>
            <w:right w:val="none" w:sz="0" w:space="0" w:color="auto"/>
          </w:divBdr>
        </w:div>
        <w:div w:id="1130169092">
          <w:marLeft w:val="0"/>
          <w:marRight w:val="0"/>
          <w:marTop w:val="0"/>
          <w:marBottom w:val="0"/>
          <w:divBdr>
            <w:top w:val="none" w:sz="0" w:space="0" w:color="auto"/>
            <w:left w:val="none" w:sz="0" w:space="0" w:color="auto"/>
            <w:bottom w:val="none" w:sz="0" w:space="0" w:color="auto"/>
            <w:right w:val="none" w:sz="0" w:space="0" w:color="auto"/>
          </w:divBdr>
        </w:div>
        <w:div w:id="1185902096">
          <w:marLeft w:val="0"/>
          <w:marRight w:val="0"/>
          <w:marTop w:val="0"/>
          <w:marBottom w:val="0"/>
          <w:divBdr>
            <w:top w:val="none" w:sz="0" w:space="0" w:color="auto"/>
            <w:left w:val="none" w:sz="0" w:space="0" w:color="auto"/>
            <w:bottom w:val="none" w:sz="0" w:space="0" w:color="auto"/>
            <w:right w:val="none" w:sz="0" w:space="0" w:color="auto"/>
          </w:divBdr>
        </w:div>
        <w:div w:id="1541045924">
          <w:marLeft w:val="0"/>
          <w:marRight w:val="0"/>
          <w:marTop w:val="0"/>
          <w:marBottom w:val="0"/>
          <w:divBdr>
            <w:top w:val="none" w:sz="0" w:space="0" w:color="auto"/>
            <w:left w:val="none" w:sz="0" w:space="0" w:color="auto"/>
            <w:bottom w:val="none" w:sz="0" w:space="0" w:color="auto"/>
            <w:right w:val="none" w:sz="0" w:space="0" w:color="auto"/>
          </w:divBdr>
        </w:div>
        <w:div w:id="1659571458">
          <w:marLeft w:val="0"/>
          <w:marRight w:val="0"/>
          <w:marTop w:val="0"/>
          <w:marBottom w:val="0"/>
          <w:divBdr>
            <w:top w:val="none" w:sz="0" w:space="0" w:color="auto"/>
            <w:left w:val="none" w:sz="0" w:space="0" w:color="auto"/>
            <w:bottom w:val="none" w:sz="0" w:space="0" w:color="auto"/>
            <w:right w:val="none" w:sz="0" w:space="0" w:color="auto"/>
          </w:divBdr>
        </w:div>
        <w:div w:id="2045589996">
          <w:marLeft w:val="0"/>
          <w:marRight w:val="0"/>
          <w:marTop w:val="0"/>
          <w:marBottom w:val="0"/>
          <w:divBdr>
            <w:top w:val="none" w:sz="0" w:space="0" w:color="auto"/>
            <w:left w:val="none" w:sz="0" w:space="0" w:color="auto"/>
            <w:bottom w:val="none" w:sz="0" w:space="0" w:color="auto"/>
            <w:right w:val="none" w:sz="0" w:space="0" w:color="auto"/>
          </w:divBdr>
        </w:div>
        <w:div w:id="2084839850">
          <w:marLeft w:val="0"/>
          <w:marRight w:val="0"/>
          <w:marTop w:val="0"/>
          <w:marBottom w:val="0"/>
          <w:divBdr>
            <w:top w:val="none" w:sz="0" w:space="0" w:color="auto"/>
            <w:left w:val="none" w:sz="0" w:space="0" w:color="auto"/>
            <w:bottom w:val="none" w:sz="0" w:space="0" w:color="auto"/>
            <w:right w:val="none" w:sz="0" w:space="0" w:color="auto"/>
          </w:divBdr>
        </w:div>
        <w:div w:id="2086298882">
          <w:marLeft w:val="0"/>
          <w:marRight w:val="0"/>
          <w:marTop w:val="0"/>
          <w:marBottom w:val="0"/>
          <w:divBdr>
            <w:top w:val="none" w:sz="0" w:space="0" w:color="auto"/>
            <w:left w:val="none" w:sz="0" w:space="0" w:color="auto"/>
            <w:bottom w:val="none" w:sz="0" w:space="0" w:color="auto"/>
            <w:right w:val="none" w:sz="0" w:space="0" w:color="auto"/>
          </w:divBdr>
        </w:div>
      </w:divsChild>
    </w:div>
    <w:div w:id="393117597">
      <w:bodyDiv w:val="1"/>
      <w:marLeft w:val="0"/>
      <w:marRight w:val="0"/>
      <w:marTop w:val="0"/>
      <w:marBottom w:val="0"/>
      <w:divBdr>
        <w:top w:val="none" w:sz="0" w:space="0" w:color="auto"/>
        <w:left w:val="none" w:sz="0" w:space="0" w:color="auto"/>
        <w:bottom w:val="none" w:sz="0" w:space="0" w:color="auto"/>
        <w:right w:val="none" w:sz="0" w:space="0" w:color="auto"/>
      </w:divBdr>
    </w:div>
    <w:div w:id="408695690">
      <w:bodyDiv w:val="1"/>
      <w:marLeft w:val="0"/>
      <w:marRight w:val="0"/>
      <w:marTop w:val="0"/>
      <w:marBottom w:val="0"/>
      <w:divBdr>
        <w:top w:val="none" w:sz="0" w:space="0" w:color="auto"/>
        <w:left w:val="none" w:sz="0" w:space="0" w:color="auto"/>
        <w:bottom w:val="none" w:sz="0" w:space="0" w:color="auto"/>
        <w:right w:val="none" w:sz="0" w:space="0" w:color="auto"/>
      </w:divBdr>
      <w:divsChild>
        <w:div w:id="1135948772">
          <w:marLeft w:val="0"/>
          <w:marRight w:val="0"/>
          <w:marTop w:val="0"/>
          <w:marBottom w:val="0"/>
          <w:divBdr>
            <w:top w:val="none" w:sz="0" w:space="0" w:color="auto"/>
            <w:left w:val="none" w:sz="0" w:space="0" w:color="auto"/>
            <w:bottom w:val="none" w:sz="0" w:space="0" w:color="auto"/>
            <w:right w:val="none" w:sz="0" w:space="0" w:color="auto"/>
          </w:divBdr>
        </w:div>
        <w:div w:id="1192185675">
          <w:marLeft w:val="0"/>
          <w:marRight w:val="0"/>
          <w:marTop w:val="0"/>
          <w:marBottom w:val="0"/>
          <w:divBdr>
            <w:top w:val="none" w:sz="0" w:space="0" w:color="auto"/>
            <w:left w:val="none" w:sz="0" w:space="0" w:color="auto"/>
            <w:bottom w:val="none" w:sz="0" w:space="0" w:color="auto"/>
            <w:right w:val="none" w:sz="0" w:space="0" w:color="auto"/>
          </w:divBdr>
        </w:div>
        <w:div w:id="1559508857">
          <w:marLeft w:val="0"/>
          <w:marRight w:val="0"/>
          <w:marTop w:val="0"/>
          <w:marBottom w:val="0"/>
          <w:divBdr>
            <w:top w:val="none" w:sz="0" w:space="0" w:color="auto"/>
            <w:left w:val="none" w:sz="0" w:space="0" w:color="auto"/>
            <w:bottom w:val="none" w:sz="0" w:space="0" w:color="auto"/>
            <w:right w:val="none" w:sz="0" w:space="0" w:color="auto"/>
          </w:divBdr>
        </w:div>
      </w:divsChild>
    </w:div>
    <w:div w:id="434835733">
      <w:bodyDiv w:val="1"/>
      <w:marLeft w:val="0"/>
      <w:marRight w:val="0"/>
      <w:marTop w:val="0"/>
      <w:marBottom w:val="0"/>
      <w:divBdr>
        <w:top w:val="none" w:sz="0" w:space="0" w:color="auto"/>
        <w:left w:val="none" w:sz="0" w:space="0" w:color="auto"/>
        <w:bottom w:val="none" w:sz="0" w:space="0" w:color="auto"/>
        <w:right w:val="none" w:sz="0" w:space="0" w:color="auto"/>
      </w:divBdr>
    </w:div>
    <w:div w:id="469984674">
      <w:bodyDiv w:val="1"/>
      <w:marLeft w:val="0"/>
      <w:marRight w:val="0"/>
      <w:marTop w:val="0"/>
      <w:marBottom w:val="0"/>
      <w:divBdr>
        <w:top w:val="none" w:sz="0" w:space="0" w:color="auto"/>
        <w:left w:val="none" w:sz="0" w:space="0" w:color="auto"/>
        <w:bottom w:val="none" w:sz="0" w:space="0" w:color="auto"/>
        <w:right w:val="none" w:sz="0" w:space="0" w:color="auto"/>
      </w:divBdr>
      <w:divsChild>
        <w:div w:id="129642012">
          <w:marLeft w:val="0"/>
          <w:marRight w:val="0"/>
          <w:marTop w:val="0"/>
          <w:marBottom w:val="0"/>
          <w:divBdr>
            <w:top w:val="none" w:sz="0" w:space="0" w:color="auto"/>
            <w:left w:val="none" w:sz="0" w:space="0" w:color="auto"/>
            <w:bottom w:val="none" w:sz="0" w:space="0" w:color="auto"/>
            <w:right w:val="none" w:sz="0" w:space="0" w:color="auto"/>
          </w:divBdr>
        </w:div>
        <w:div w:id="249394832">
          <w:marLeft w:val="0"/>
          <w:marRight w:val="0"/>
          <w:marTop w:val="0"/>
          <w:marBottom w:val="0"/>
          <w:divBdr>
            <w:top w:val="none" w:sz="0" w:space="0" w:color="auto"/>
            <w:left w:val="none" w:sz="0" w:space="0" w:color="auto"/>
            <w:bottom w:val="none" w:sz="0" w:space="0" w:color="auto"/>
            <w:right w:val="none" w:sz="0" w:space="0" w:color="auto"/>
          </w:divBdr>
        </w:div>
        <w:div w:id="330722883">
          <w:marLeft w:val="0"/>
          <w:marRight w:val="0"/>
          <w:marTop w:val="0"/>
          <w:marBottom w:val="0"/>
          <w:divBdr>
            <w:top w:val="none" w:sz="0" w:space="0" w:color="auto"/>
            <w:left w:val="none" w:sz="0" w:space="0" w:color="auto"/>
            <w:bottom w:val="none" w:sz="0" w:space="0" w:color="auto"/>
            <w:right w:val="none" w:sz="0" w:space="0" w:color="auto"/>
          </w:divBdr>
        </w:div>
        <w:div w:id="588513463">
          <w:marLeft w:val="0"/>
          <w:marRight w:val="0"/>
          <w:marTop w:val="0"/>
          <w:marBottom w:val="0"/>
          <w:divBdr>
            <w:top w:val="none" w:sz="0" w:space="0" w:color="auto"/>
            <w:left w:val="none" w:sz="0" w:space="0" w:color="auto"/>
            <w:bottom w:val="none" w:sz="0" w:space="0" w:color="auto"/>
            <w:right w:val="none" w:sz="0" w:space="0" w:color="auto"/>
          </w:divBdr>
        </w:div>
        <w:div w:id="707342373">
          <w:marLeft w:val="0"/>
          <w:marRight w:val="0"/>
          <w:marTop w:val="0"/>
          <w:marBottom w:val="0"/>
          <w:divBdr>
            <w:top w:val="none" w:sz="0" w:space="0" w:color="auto"/>
            <w:left w:val="none" w:sz="0" w:space="0" w:color="auto"/>
            <w:bottom w:val="none" w:sz="0" w:space="0" w:color="auto"/>
            <w:right w:val="none" w:sz="0" w:space="0" w:color="auto"/>
          </w:divBdr>
        </w:div>
        <w:div w:id="1679887251">
          <w:marLeft w:val="0"/>
          <w:marRight w:val="0"/>
          <w:marTop w:val="0"/>
          <w:marBottom w:val="0"/>
          <w:divBdr>
            <w:top w:val="none" w:sz="0" w:space="0" w:color="auto"/>
            <w:left w:val="none" w:sz="0" w:space="0" w:color="auto"/>
            <w:bottom w:val="none" w:sz="0" w:space="0" w:color="auto"/>
            <w:right w:val="none" w:sz="0" w:space="0" w:color="auto"/>
          </w:divBdr>
        </w:div>
        <w:div w:id="2094814045">
          <w:marLeft w:val="0"/>
          <w:marRight w:val="0"/>
          <w:marTop w:val="0"/>
          <w:marBottom w:val="0"/>
          <w:divBdr>
            <w:top w:val="none" w:sz="0" w:space="0" w:color="auto"/>
            <w:left w:val="none" w:sz="0" w:space="0" w:color="auto"/>
            <w:bottom w:val="none" w:sz="0" w:space="0" w:color="auto"/>
            <w:right w:val="none" w:sz="0" w:space="0" w:color="auto"/>
          </w:divBdr>
        </w:div>
      </w:divsChild>
    </w:div>
    <w:div w:id="508254968">
      <w:bodyDiv w:val="1"/>
      <w:marLeft w:val="0"/>
      <w:marRight w:val="0"/>
      <w:marTop w:val="0"/>
      <w:marBottom w:val="0"/>
      <w:divBdr>
        <w:top w:val="none" w:sz="0" w:space="0" w:color="auto"/>
        <w:left w:val="none" w:sz="0" w:space="0" w:color="auto"/>
        <w:bottom w:val="none" w:sz="0" w:space="0" w:color="auto"/>
        <w:right w:val="none" w:sz="0" w:space="0" w:color="auto"/>
      </w:divBdr>
      <w:divsChild>
        <w:div w:id="72625369">
          <w:marLeft w:val="0"/>
          <w:marRight w:val="0"/>
          <w:marTop w:val="0"/>
          <w:marBottom w:val="0"/>
          <w:divBdr>
            <w:top w:val="none" w:sz="0" w:space="0" w:color="auto"/>
            <w:left w:val="none" w:sz="0" w:space="0" w:color="auto"/>
            <w:bottom w:val="none" w:sz="0" w:space="0" w:color="auto"/>
            <w:right w:val="none" w:sz="0" w:space="0" w:color="auto"/>
          </w:divBdr>
        </w:div>
        <w:div w:id="188496367">
          <w:marLeft w:val="0"/>
          <w:marRight w:val="0"/>
          <w:marTop w:val="0"/>
          <w:marBottom w:val="0"/>
          <w:divBdr>
            <w:top w:val="none" w:sz="0" w:space="0" w:color="auto"/>
            <w:left w:val="none" w:sz="0" w:space="0" w:color="auto"/>
            <w:bottom w:val="none" w:sz="0" w:space="0" w:color="auto"/>
            <w:right w:val="none" w:sz="0" w:space="0" w:color="auto"/>
          </w:divBdr>
        </w:div>
        <w:div w:id="190150597">
          <w:marLeft w:val="0"/>
          <w:marRight w:val="0"/>
          <w:marTop w:val="0"/>
          <w:marBottom w:val="0"/>
          <w:divBdr>
            <w:top w:val="none" w:sz="0" w:space="0" w:color="auto"/>
            <w:left w:val="none" w:sz="0" w:space="0" w:color="auto"/>
            <w:bottom w:val="none" w:sz="0" w:space="0" w:color="auto"/>
            <w:right w:val="none" w:sz="0" w:space="0" w:color="auto"/>
          </w:divBdr>
        </w:div>
        <w:div w:id="253515846">
          <w:marLeft w:val="0"/>
          <w:marRight w:val="0"/>
          <w:marTop w:val="0"/>
          <w:marBottom w:val="0"/>
          <w:divBdr>
            <w:top w:val="none" w:sz="0" w:space="0" w:color="auto"/>
            <w:left w:val="none" w:sz="0" w:space="0" w:color="auto"/>
            <w:bottom w:val="none" w:sz="0" w:space="0" w:color="auto"/>
            <w:right w:val="none" w:sz="0" w:space="0" w:color="auto"/>
          </w:divBdr>
        </w:div>
        <w:div w:id="424962695">
          <w:marLeft w:val="0"/>
          <w:marRight w:val="0"/>
          <w:marTop w:val="0"/>
          <w:marBottom w:val="0"/>
          <w:divBdr>
            <w:top w:val="none" w:sz="0" w:space="0" w:color="auto"/>
            <w:left w:val="none" w:sz="0" w:space="0" w:color="auto"/>
            <w:bottom w:val="none" w:sz="0" w:space="0" w:color="auto"/>
            <w:right w:val="none" w:sz="0" w:space="0" w:color="auto"/>
          </w:divBdr>
        </w:div>
        <w:div w:id="426115846">
          <w:marLeft w:val="0"/>
          <w:marRight w:val="0"/>
          <w:marTop w:val="0"/>
          <w:marBottom w:val="0"/>
          <w:divBdr>
            <w:top w:val="none" w:sz="0" w:space="0" w:color="auto"/>
            <w:left w:val="none" w:sz="0" w:space="0" w:color="auto"/>
            <w:bottom w:val="none" w:sz="0" w:space="0" w:color="auto"/>
            <w:right w:val="none" w:sz="0" w:space="0" w:color="auto"/>
          </w:divBdr>
        </w:div>
        <w:div w:id="541791401">
          <w:marLeft w:val="0"/>
          <w:marRight w:val="0"/>
          <w:marTop w:val="0"/>
          <w:marBottom w:val="0"/>
          <w:divBdr>
            <w:top w:val="none" w:sz="0" w:space="0" w:color="auto"/>
            <w:left w:val="none" w:sz="0" w:space="0" w:color="auto"/>
            <w:bottom w:val="none" w:sz="0" w:space="0" w:color="auto"/>
            <w:right w:val="none" w:sz="0" w:space="0" w:color="auto"/>
          </w:divBdr>
        </w:div>
        <w:div w:id="556163498">
          <w:marLeft w:val="0"/>
          <w:marRight w:val="0"/>
          <w:marTop w:val="0"/>
          <w:marBottom w:val="0"/>
          <w:divBdr>
            <w:top w:val="none" w:sz="0" w:space="0" w:color="auto"/>
            <w:left w:val="none" w:sz="0" w:space="0" w:color="auto"/>
            <w:bottom w:val="none" w:sz="0" w:space="0" w:color="auto"/>
            <w:right w:val="none" w:sz="0" w:space="0" w:color="auto"/>
          </w:divBdr>
        </w:div>
        <w:div w:id="576744710">
          <w:marLeft w:val="0"/>
          <w:marRight w:val="0"/>
          <w:marTop w:val="0"/>
          <w:marBottom w:val="0"/>
          <w:divBdr>
            <w:top w:val="none" w:sz="0" w:space="0" w:color="auto"/>
            <w:left w:val="none" w:sz="0" w:space="0" w:color="auto"/>
            <w:bottom w:val="none" w:sz="0" w:space="0" w:color="auto"/>
            <w:right w:val="none" w:sz="0" w:space="0" w:color="auto"/>
          </w:divBdr>
        </w:div>
        <w:div w:id="609241418">
          <w:marLeft w:val="0"/>
          <w:marRight w:val="0"/>
          <w:marTop w:val="0"/>
          <w:marBottom w:val="0"/>
          <w:divBdr>
            <w:top w:val="none" w:sz="0" w:space="0" w:color="auto"/>
            <w:left w:val="none" w:sz="0" w:space="0" w:color="auto"/>
            <w:bottom w:val="none" w:sz="0" w:space="0" w:color="auto"/>
            <w:right w:val="none" w:sz="0" w:space="0" w:color="auto"/>
          </w:divBdr>
        </w:div>
        <w:div w:id="642782912">
          <w:marLeft w:val="0"/>
          <w:marRight w:val="0"/>
          <w:marTop w:val="0"/>
          <w:marBottom w:val="0"/>
          <w:divBdr>
            <w:top w:val="none" w:sz="0" w:space="0" w:color="auto"/>
            <w:left w:val="none" w:sz="0" w:space="0" w:color="auto"/>
            <w:bottom w:val="none" w:sz="0" w:space="0" w:color="auto"/>
            <w:right w:val="none" w:sz="0" w:space="0" w:color="auto"/>
          </w:divBdr>
        </w:div>
        <w:div w:id="650408739">
          <w:marLeft w:val="0"/>
          <w:marRight w:val="0"/>
          <w:marTop w:val="0"/>
          <w:marBottom w:val="0"/>
          <w:divBdr>
            <w:top w:val="none" w:sz="0" w:space="0" w:color="auto"/>
            <w:left w:val="none" w:sz="0" w:space="0" w:color="auto"/>
            <w:bottom w:val="none" w:sz="0" w:space="0" w:color="auto"/>
            <w:right w:val="none" w:sz="0" w:space="0" w:color="auto"/>
          </w:divBdr>
        </w:div>
        <w:div w:id="664626675">
          <w:marLeft w:val="0"/>
          <w:marRight w:val="0"/>
          <w:marTop w:val="0"/>
          <w:marBottom w:val="0"/>
          <w:divBdr>
            <w:top w:val="none" w:sz="0" w:space="0" w:color="auto"/>
            <w:left w:val="none" w:sz="0" w:space="0" w:color="auto"/>
            <w:bottom w:val="none" w:sz="0" w:space="0" w:color="auto"/>
            <w:right w:val="none" w:sz="0" w:space="0" w:color="auto"/>
          </w:divBdr>
        </w:div>
        <w:div w:id="685133418">
          <w:marLeft w:val="0"/>
          <w:marRight w:val="0"/>
          <w:marTop w:val="0"/>
          <w:marBottom w:val="0"/>
          <w:divBdr>
            <w:top w:val="none" w:sz="0" w:space="0" w:color="auto"/>
            <w:left w:val="none" w:sz="0" w:space="0" w:color="auto"/>
            <w:bottom w:val="none" w:sz="0" w:space="0" w:color="auto"/>
            <w:right w:val="none" w:sz="0" w:space="0" w:color="auto"/>
          </w:divBdr>
        </w:div>
        <w:div w:id="913508003">
          <w:marLeft w:val="0"/>
          <w:marRight w:val="0"/>
          <w:marTop w:val="0"/>
          <w:marBottom w:val="0"/>
          <w:divBdr>
            <w:top w:val="none" w:sz="0" w:space="0" w:color="auto"/>
            <w:left w:val="none" w:sz="0" w:space="0" w:color="auto"/>
            <w:bottom w:val="none" w:sz="0" w:space="0" w:color="auto"/>
            <w:right w:val="none" w:sz="0" w:space="0" w:color="auto"/>
          </w:divBdr>
        </w:div>
        <w:div w:id="1077706405">
          <w:marLeft w:val="0"/>
          <w:marRight w:val="0"/>
          <w:marTop w:val="0"/>
          <w:marBottom w:val="0"/>
          <w:divBdr>
            <w:top w:val="none" w:sz="0" w:space="0" w:color="auto"/>
            <w:left w:val="none" w:sz="0" w:space="0" w:color="auto"/>
            <w:bottom w:val="none" w:sz="0" w:space="0" w:color="auto"/>
            <w:right w:val="none" w:sz="0" w:space="0" w:color="auto"/>
          </w:divBdr>
        </w:div>
        <w:div w:id="1107234907">
          <w:marLeft w:val="0"/>
          <w:marRight w:val="0"/>
          <w:marTop w:val="0"/>
          <w:marBottom w:val="0"/>
          <w:divBdr>
            <w:top w:val="none" w:sz="0" w:space="0" w:color="auto"/>
            <w:left w:val="none" w:sz="0" w:space="0" w:color="auto"/>
            <w:bottom w:val="none" w:sz="0" w:space="0" w:color="auto"/>
            <w:right w:val="none" w:sz="0" w:space="0" w:color="auto"/>
          </w:divBdr>
        </w:div>
        <w:div w:id="1283459192">
          <w:marLeft w:val="0"/>
          <w:marRight w:val="0"/>
          <w:marTop w:val="0"/>
          <w:marBottom w:val="0"/>
          <w:divBdr>
            <w:top w:val="none" w:sz="0" w:space="0" w:color="auto"/>
            <w:left w:val="none" w:sz="0" w:space="0" w:color="auto"/>
            <w:bottom w:val="none" w:sz="0" w:space="0" w:color="auto"/>
            <w:right w:val="none" w:sz="0" w:space="0" w:color="auto"/>
          </w:divBdr>
        </w:div>
        <w:div w:id="1311448324">
          <w:marLeft w:val="0"/>
          <w:marRight w:val="0"/>
          <w:marTop w:val="0"/>
          <w:marBottom w:val="0"/>
          <w:divBdr>
            <w:top w:val="none" w:sz="0" w:space="0" w:color="auto"/>
            <w:left w:val="none" w:sz="0" w:space="0" w:color="auto"/>
            <w:bottom w:val="none" w:sz="0" w:space="0" w:color="auto"/>
            <w:right w:val="none" w:sz="0" w:space="0" w:color="auto"/>
          </w:divBdr>
        </w:div>
        <w:div w:id="1327783139">
          <w:marLeft w:val="0"/>
          <w:marRight w:val="0"/>
          <w:marTop w:val="0"/>
          <w:marBottom w:val="0"/>
          <w:divBdr>
            <w:top w:val="none" w:sz="0" w:space="0" w:color="auto"/>
            <w:left w:val="none" w:sz="0" w:space="0" w:color="auto"/>
            <w:bottom w:val="none" w:sz="0" w:space="0" w:color="auto"/>
            <w:right w:val="none" w:sz="0" w:space="0" w:color="auto"/>
          </w:divBdr>
        </w:div>
        <w:div w:id="1438910318">
          <w:marLeft w:val="0"/>
          <w:marRight w:val="0"/>
          <w:marTop w:val="0"/>
          <w:marBottom w:val="0"/>
          <w:divBdr>
            <w:top w:val="none" w:sz="0" w:space="0" w:color="auto"/>
            <w:left w:val="none" w:sz="0" w:space="0" w:color="auto"/>
            <w:bottom w:val="none" w:sz="0" w:space="0" w:color="auto"/>
            <w:right w:val="none" w:sz="0" w:space="0" w:color="auto"/>
          </w:divBdr>
        </w:div>
        <w:div w:id="1596746748">
          <w:marLeft w:val="0"/>
          <w:marRight w:val="0"/>
          <w:marTop w:val="0"/>
          <w:marBottom w:val="0"/>
          <w:divBdr>
            <w:top w:val="none" w:sz="0" w:space="0" w:color="auto"/>
            <w:left w:val="none" w:sz="0" w:space="0" w:color="auto"/>
            <w:bottom w:val="none" w:sz="0" w:space="0" w:color="auto"/>
            <w:right w:val="none" w:sz="0" w:space="0" w:color="auto"/>
          </w:divBdr>
        </w:div>
        <w:div w:id="1670711558">
          <w:marLeft w:val="0"/>
          <w:marRight w:val="0"/>
          <w:marTop w:val="0"/>
          <w:marBottom w:val="0"/>
          <w:divBdr>
            <w:top w:val="none" w:sz="0" w:space="0" w:color="auto"/>
            <w:left w:val="none" w:sz="0" w:space="0" w:color="auto"/>
            <w:bottom w:val="none" w:sz="0" w:space="0" w:color="auto"/>
            <w:right w:val="none" w:sz="0" w:space="0" w:color="auto"/>
          </w:divBdr>
        </w:div>
        <w:div w:id="1751077603">
          <w:marLeft w:val="0"/>
          <w:marRight w:val="0"/>
          <w:marTop w:val="0"/>
          <w:marBottom w:val="0"/>
          <w:divBdr>
            <w:top w:val="none" w:sz="0" w:space="0" w:color="auto"/>
            <w:left w:val="none" w:sz="0" w:space="0" w:color="auto"/>
            <w:bottom w:val="none" w:sz="0" w:space="0" w:color="auto"/>
            <w:right w:val="none" w:sz="0" w:space="0" w:color="auto"/>
          </w:divBdr>
        </w:div>
        <w:div w:id="1863395101">
          <w:marLeft w:val="0"/>
          <w:marRight w:val="0"/>
          <w:marTop w:val="0"/>
          <w:marBottom w:val="0"/>
          <w:divBdr>
            <w:top w:val="none" w:sz="0" w:space="0" w:color="auto"/>
            <w:left w:val="none" w:sz="0" w:space="0" w:color="auto"/>
            <w:bottom w:val="none" w:sz="0" w:space="0" w:color="auto"/>
            <w:right w:val="none" w:sz="0" w:space="0" w:color="auto"/>
          </w:divBdr>
        </w:div>
        <w:div w:id="1979799290">
          <w:marLeft w:val="0"/>
          <w:marRight w:val="0"/>
          <w:marTop w:val="0"/>
          <w:marBottom w:val="0"/>
          <w:divBdr>
            <w:top w:val="none" w:sz="0" w:space="0" w:color="auto"/>
            <w:left w:val="none" w:sz="0" w:space="0" w:color="auto"/>
            <w:bottom w:val="none" w:sz="0" w:space="0" w:color="auto"/>
            <w:right w:val="none" w:sz="0" w:space="0" w:color="auto"/>
          </w:divBdr>
        </w:div>
        <w:div w:id="2132044557">
          <w:marLeft w:val="0"/>
          <w:marRight w:val="0"/>
          <w:marTop w:val="0"/>
          <w:marBottom w:val="0"/>
          <w:divBdr>
            <w:top w:val="none" w:sz="0" w:space="0" w:color="auto"/>
            <w:left w:val="none" w:sz="0" w:space="0" w:color="auto"/>
            <w:bottom w:val="none" w:sz="0" w:space="0" w:color="auto"/>
            <w:right w:val="none" w:sz="0" w:space="0" w:color="auto"/>
          </w:divBdr>
        </w:div>
      </w:divsChild>
    </w:div>
    <w:div w:id="519586955">
      <w:bodyDiv w:val="1"/>
      <w:marLeft w:val="0"/>
      <w:marRight w:val="0"/>
      <w:marTop w:val="0"/>
      <w:marBottom w:val="0"/>
      <w:divBdr>
        <w:top w:val="none" w:sz="0" w:space="0" w:color="auto"/>
        <w:left w:val="none" w:sz="0" w:space="0" w:color="auto"/>
        <w:bottom w:val="none" w:sz="0" w:space="0" w:color="auto"/>
        <w:right w:val="none" w:sz="0" w:space="0" w:color="auto"/>
      </w:divBdr>
      <w:divsChild>
        <w:div w:id="82653027">
          <w:marLeft w:val="0"/>
          <w:marRight w:val="0"/>
          <w:marTop w:val="0"/>
          <w:marBottom w:val="0"/>
          <w:divBdr>
            <w:top w:val="none" w:sz="0" w:space="0" w:color="auto"/>
            <w:left w:val="none" w:sz="0" w:space="0" w:color="auto"/>
            <w:bottom w:val="none" w:sz="0" w:space="0" w:color="auto"/>
            <w:right w:val="none" w:sz="0" w:space="0" w:color="auto"/>
          </w:divBdr>
        </w:div>
        <w:div w:id="106507486">
          <w:marLeft w:val="0"/>
          <w:marRight w:val="0"/>
          <w:marTop w:val="0"/>
          <w:marBottom w:val="0"/>
          <w:divBdr>
            <w:top w:val="none" w:sz="0" w:space="0" w:color="auto"/>
            <w:left w:val="none" w:sz="0" w:space="0" w:color="auto"/>
            <w:bottom w:val="none" w:sz="0" w:space="0" w:color="auto"/>
            <w:right w:val="none" w:sz="0" w:space="0" w:color="auto"/>
          </w:divBdr>
        </w:div>
        <w:div w:id="179468506">
          <w:marLeft w:val="0"/>
          <w:marRight w:val="0"/>
          <w:marTop w:val="0"/>
          <w:marBottom w:val="0"/>
          <w:divBdr>
            <w:top w:val="none" w:sz="0" w:space="0" w:color="auto"/>
            <w:left w:val="none" w:sz="0" w:space="0" w:color="auto"/>
            <w:bottom w:val="none" w:sz="0" w:space="0" w:color="auto"/>
            <w:right w:val="none" w:sz="0" w:space="0" w:color="auto"/>
          </w:divBdr>
        </w:div>
        <w:div w:id="207688472">
          <w:marLeft w:val="0"/>
          <w:marRight w:val="0"/>
          <w:marTop w:val="0"/>
          <w:marBottom w:val="0"/>
          <w:divBdr>
            <w:top w:val="none" w:sz="0" w:space="0" w:color="auto"/>
            <w:left w:val="none" w:sz="0" w:space="0" w:color="auto"/>
            <w:bottom w:val="none" w:sz="0" w:space="0" w:color="auto"/>
            <w:right w:val="none" w:sz="0" w:space="0" w:color="auto"/>
          </w:divBdr>
        </w:div>
        <w:div w:id="265121757">
          <w:marLeft w:val="0"/>
          <w:marRight w:val="0"/>
          <w:marTop w:val="0"/>
          <w:marBottom w:val="0"/>
          <w:divBdr>
            <w:top w:val="none" w:sz="0" w:space="0" w:color="auto"/>
            <w:left w:val="none" w:sz="0" w:space="0" w:color="auto"/>
            <w:bottom w:val="none" w:sz="0" w:space="0" w:color="auto"/>
            <w:right w:val="none" w:sz="0" w:space="0" w:color="auto"/>
          </w:divBdr>
        </w:div>
        <w:div w:id="496238765">
          <w:marLeft w:val="0"/>
          <w:marRight w:val="0"/>
          <w:marTop w:val="0"/>
          <w:marBottom w:val="0"/>
          <w:divBdr>
            <w:top w:val="none" w:sz="0" w:space="0" w:color="auto"/>
            <w:left w:val="none" w:sz="0" w:space="0" w:color="auto"/>
            <w:bottom w:val="none" w:sz="0" w:space="0" w:color="auto"/>
            <w:right w:val="none" w:sz="0" w:space="0" w:color="auto"/>
          </w:divBdr>
        </w:div>
        <w:div w:id="705252382">
          <w:marLeft w:val="0"/>
          <w:marRight w:val="0"/>
          <w:marTop w:val="0"/>
          <w:marBottom w:val="0"/>
          <w:divBdr>
            <w:top w:val="none" w:sz="0" w:space="0" w:color="auto"/>
            <w:left w:val="none" w:sz="0" w:space="0" w:color="auto"/>
            <w:bottom w:val="none" w:sz="0" w:space="0" w:color="auto"/>
            <w:right w:val="none" w:sz="0" w:space="0" w:color="auto"/>
          </w:divBdr>
        </w:div>
        <w:div w:id="828248116">
          <w:marLeft w:val="0"/>
          <w:marRight w:val="0"/>
          <w:marTop w:val="0"/>
          <w:marBottom w:val="0"/>
          <w:divBdr>
            <w:top w:val="none" w:sz="0" w:space="0" w:color="auto"/>
            <w:left w:val="none" w:sz="0" w:space="0" w:color="auto"/>
            <w:bottom w:val="none" w:sz="0" w:space="0" w:color="auto"/>
            <w:right w:val="none" w:sz="0" w:space="0" w:color="auto"/>
          </w:divBdr>
        </w:div>
        <w:div w:id="830408421">
          <w:marLeft w:val="0"/>
          <w:marRight w:val="0"/>
          <w:marTop w:val="0"/>
          <w:marBottom w:val="0"/>
          <w:divBdr>
            <w:top w:val="none" w:sz="0" w:space="0" w:color="auto"/>
            <w:left w:val="none" w:sz="0" w:space="0" w:color="auto"/>
            <w:bottom w:val="none" w:sz="0" w:space="0" w:color="auto"/>
            <w:right w:val="none" w:sz="0" w:space="0" w:color="auto"/>
          </w:divBdr>
        </w:div>
        <w:div w:id="915045275">
          <w:marLeft w:val="0"/>
          <w:marRight w:val="0"/>
          <w:marTop w:val="0"/>
          <w:marBottom w:val="0"/>
          <w:divBdr>
            <w:top w:val="none" w:sz="0" w:space="0" w:color="auto"/>
            <w:left w:val="none" w:sz="0" w:space="0" w:color="auto"/>
            <w:bottom w:val="none" w:sz="0" w:space="0" w:color="auto"/>
            <w:right w:val="none" w:sz="0" w:space="0" w:color="auto"/>
          </w:divBdr>
        </w:div>
        <w:div w:id="1001391940">
          <w:marLeft w:val="0"/>
          <w:marRight w:val="0"/>
          <w:marTop w:val="0"/>
          <w:marBottom w:val="0"/>
          <w:divBdr>
            <w:top w:val="none" w:sz="0" w:space="0" w:color="auto"/>
            <w:left w:val="none" w:sz="0" w:space="0" w:color="auto"/>
            <w:bottom w:val="none" w:sz="0" w:space="0" w:color="auto"/>
            <w:right w:val="none" w:sz="0" w:space="0" w:color="auto"/>
          </w:divBdr>
        </w:div>
        <w:div w:id="1046639343">
          <w:marLeft w:val="0"/>
          <w:marRight w:val="0"/>
          <w:marTop w:val="0"/>
          <w:marBottom w:val="0"/>
          <w:divBdr>
            <w:top w:val="none" w:sz="0" w:space="0" w:color="auto"/>
            <w:left w:val="none" w:sz="0" w:space="0" w:color="auto"/>
            <w:bottom w:val="none" w:sz="0" w:space="0" w:color="auto"/>
            <w:right w:val="none" w:sz="0" w:space="0" w:color="auto"/>
          </w:divBdr>
        </w:div>
        <w:div w:id="1183401435">
          <w:marLeft w:val="0"/>
          <w:marRight w:val="0"/>
          <w:marTop w:val="0"/>
          <w:marBottom w:val="0"/>
          <w:divBdr>
            <w:top w:val="none" w:sz="0" w:space="0" w:color="auto"/>
            <w:left w:val="none" w:sz="0" w:space="0" w:color="auto"/>
            <w:bottom w:val="none" w:sz="0" w:space="0" w:color="auto"/>
            <w:right w:val="none" w:sz="0" w:space="0" w:color="auto"/>
          </w:divBdr>
        </w:div>
        <w:div w:id="1377583195">
          <w:marLeft w:val="0"/>
          <w:marRight w:val="0"/>
          <w:marTop w:val="0"/>
          <w:marBottom w:val="0"/>
          <w:divBdr>
            <w:top w:val="none" w:sz="0" w:space="0" w:color="auto"/>
            <w:left w:val="none" w:sz="0" w:space="0" w:color="auto"/>
            <w:bottom w:val="none" w:sz="0" w:space="0" w:color="auto"/>
            <w:right w:val="none" w:sz="0" w:space="0" w:color="auto"/>
          </w:divBdr>
        </w:div>
        <w:div w:id="1422486036">
          <w:marLeft w:val="0"/>
          <w:marRight w:val="0"/>
          <w:marTop w:val="0"/>
          <w:marBottom w:val="0"/>
          <w:divBdr>
            <w:top w:val="none" w:sz="0" w:space="0" w:color="auto"/>
            <w:left w:val="none" w:sz="0" w:space="0" w:color="auto"/>
            <w:bottom w:val="none" w:sz="0" w:space="0" w:color="auto"/>
            <w:right w:val="none" w:sz="0" w:space="0" w:color="auto"/>
          </w:divBdr>
        </w:div>
        <w:div w:id="1433017697">
          <w:marLeft w:val="0"/>
          <w:marRight w:val="0"/>
          <w:marTop w:val="0"/>
          <w:marBottom w:val="0"/>
          <w:divBdr>
            <w:top w:val="none" w:sz="0" w:space="0" w:color="auto"/>
            <w:left w:val="none" w:sz="0" w:space="0" w:color="auto"/>
            <w:bottom w:val="none" w:sz="0" w:space="0" w:color="auto"/>
            <w:right w:val="none" w:sz="0" w:space="0" w:color="auto"/>
          </w:divBdr>
        </w:div>
        <w:div w:id="1545950200">
          <w:marLeft w:val="0"/>
          <w:marRight w:val="0"/>
          <w:marTop w:val="0"/>
          <w:marBottom w:val="0"/>
          <w:divBdr>
            <w:top w:val="none" w:sz="0" w:space="0" w:color="auto"/>
            <w:left w:val="none" w:sz="0" w:space="0" w:color="auto"/>
            <w:bottom w:val="none" w:sz="0" w:space="0" w:color="auto"/>
            <w:right w:val="none" w:sz="0" w:space="0" w:color="auto"/>
          </w:divBdr>
        </w:div>
        <w:div w:id="1598902678">
          <w:marLeft w:val="0"/>
          <w:marRight w:val="0"/>
          <w:marTop w:val="0"/>
          <w:marBottom w:val="0"/>
          <w:divBdr>
            <w:top w:val="none" w:sz="0" w:space="0" w:color="auto"/>
            <w:left w:val="none" w:sz="0" w:space="0" w:color="auto"/>
            <w:bottom w:val="none" w:sz="0" w:space="0" w:color="auto"/>
            <w:right w:val="none" w:sz="0" w:space="0" w:color="auto"/>
          </w:divBdr>
        </w:div>
        <w:div w:id="1671828328">
          <w:marLeft w:val="0"/>
          <w:marRight w:val="0"/>
          <w:marTop w:val="0"/>
          <w:marBottom w:val="0"/>
          <w:divBdr>
            <w:top w:val="none" w:sz="0" w:space="0" w:color="auto"/>
            <w:left w:val="none" w:sz="0" w:space="0" w:color="auto"/>
            <w:bottom w:val="none" w:sz="0" w:space="0" w:color="auto"/>
            <w:right w:val="none" w:sz="0" w:space="0" w:color="auto"/>
          </w:divBdr>
        </w:div>
        <w:div w:id="1821382796">
          <w:marLeft w:val="0"/>
          <w:marRight w:val="0"/>
          <w:marTop w:val="0"/>
          <w:marBottom w:val="0"/>
          <w:divBdr>
            <w:top w:val="none" w:sz="0" w:space="0" w:color="auto"/>
            <w:left w:val="none" w:sz="0" w:space="0" w:color="auto"/>
            <w:bottom w:val="none" w:sz="0" w:space="0" w:color="auto"/>
            <w:right w:val="none" w:sz="0" w:space="0" w:color="auto"/>
          </w:divBdr>
        </w:div>
        <w:div w:id="1956669336">
          <w:marLeft w:val="0"/>
          <w:marRight w:val="0"/>
          <w:marTop w:val="0"/>
          <w:marBottom w:val="0"/>
          <w:divBdr>
            <w:top w:val="none" w:sz="0" w:space="0" w:color="auto"/>
            <w:left w:val="none" w:sz="0" w:space="0" w:color="auto"/>
            <w:bottom w:val="none" w:sz="0" w:space="0" w:color="auto"/>
            <w:right w:val="none" w:sz="0" w:space="0" w:color="auto"/>
          </w:divBdr>
        </w:div>
        <w:div w:id="2145467067">
          <w:marLeft w:val="0"/>
          <w:marRight w:val="0"/>
          <w:marTop w:val="0"/>
          <w:marBottom w:val="0"/>
          <w:divBdr>
            <w:top w:val="none" w:sz="0" w:space="0" w:color="auto"/>
            <w:left w:val="none" w:sz="0" w:space="0" w:color="auto"/>
            <w:bottom w:val="none" w:sz="0" w:space="0" w:color="auto"/>
            <w:right w:val="none" w:sz="0" w:space="0" w:color="auto"/>
          </w:divBdr>
        </w:div>
      </w:divsChild>
    </w:div>
    <w:div w:id="540901074">
      <w:bodyDiv w:val="1"/>
      <w:marLeft w:val="0"/>
      <w:marRight w:val="0"/>
      <w:marTop w:val="0"/>
      <w:marBottom w:val="0"/>
      <w:divBdr>
        <w:top w:val="none" w:sz="0" w:space="0" w:color="auto"/>
        <w:left w:val="none" w:sz="0" w:space="0" w:color="auto"/>
        <w:bottom w:val="none" w:sz="0" w:space="0" w:color="auto"/>
        <w:right w:val="none" w:sz="0" w:space="0" w:color="auto"/>
      </w:divBdr>
      <w:divsChild>
        <w:div w:id="8335058">
          <w:marLeft w:val="0"/>
          <w:marRight w:val="0"/>
          <w:marTop w:val="0"/>
          <w:marBottom w:val="0"/>
          <w:divBdr>
            <w:top w:val="none" w:sz="0" w:space="0" w:color="auto"/>
            <w:left w:val="none" w:sz="0" w:space="0" w:color="auto"/>
            <w:bottom w:val="none" w:sz="0" w:space="0" w:color="auto"/>
            <w:right w:val="none" w:sz="0" w:space="0" w:color="auto"/>
          </w:divBdr>
        </w:div>
        <w:div w:id="8720555">
          <w:marLeft w:val="0"/>
          <w:marRight w:val="0"/>
          <w:marTop w:val="0"/>
          <w:marBottom w:val="0"/>
          <w:divBdr>
            <w:top w:val="none" w:sz="0" w:space="0" w:color="auto"/>
            <w:left w:val="none" w:sz="0" w:space="0" w:color="auto"/>
            <w:bottom w:val="none" w:sz="0" w:space="0" w:color="auto"/>
            <w:right w:val="none" w:sz="0" w:space="0" w:color="auto"/>
          </w:divBdr>
        </w:div>
        <w:div w:id="32048012">
          <w:marLeft w:val="0"/>
          <w:marRight w:val="0"/>
          <w:marTop w:val="0"/>
          <w:marBottom w:val="0"/>
          <w:divBdr>
            <w:top w:val="none" w:sz="0" w:space="0" w:color="auto"/>
            <w:left w:val="none" w:sz="0" w:space="0" w:color="auto"/>
            <w:bottom w:val="none" w:sz="0" w:space="0" w:color="auto"/>
            <w:right w:val="none" w:sz="0" w:space="0" w:color="auto"/>
          </w:divBdr>
        </w:div>
        <w:div w:id="58091354">
          <w:marLeft w:val="0"/>
          <w:marRight w:val="0"/>
          <w:marTop w:val="0"/>
          <w:marBottom w:val="0"/>
          <w:divBdr>
            <w:top w:val="none" w:sz="0" w:space="0" w:color="auto"/>
            <w:left w:val="none" w:sz="0" w:space="0" w:color="auto"/>
            <w:bottom w:val="none" w:sz="0" w:space="0" w:color="auto"/>
            <w:right w:val="none" w:sz="0" w:space="0" w:color="auto"/>
          </w:divBdr>
        </w:div>
        <w:div w:id="61829554">
          <w:marLeft w:val="0"/>
          <w:marRight w:val="0"/>
          <w:marTop w:val="0"/>
          <w:marBottom w:val="0"/>
          <w:divBdr>
            <w:top w:val="none" w:sz="0" w:space="0" w:color="auto"/>
            <w:left w:val="none" w:sz="0" w:space="0" w:color="auto"/>
            <w:bottom w:val="none" w:sz="0" w:space="0" w:color="auto"/>
            <w:right w:val="none" w:sz="0" w:space="0" w:color="auto"/>
          </w:divBdr>
        </w:div>
        <w:div w:id="64686149">
          <w:marLeft w:val="0"/>
          <w:marRight w:val="0"/>
          <w:marTop w:val="0"/>
          <w:marBottom w:val="0"/>
          <w:divBdr>
            <w:top w:val="none" w:sz="0" w:space="0" w:color="auto"/>
            <w:left w:val="none" w:sz="0" w:space="0" w:color="auto"/>
            <w:bottom w:val="none" w:sz="0" w:space="0" w:color="auto"/>
            <w:right w:val="none" w:sz="0" w:space="0" w:color="auto"/>
          </w:divBdr>
        </w:div>
        <w:div w:id="80761751">
          <w:marLeft w:val="0"/>
          <w:marRight w:val="0"/>
          <w:marTop w:val="0"/>
          <w:marBottom w:val="0"/>
          <w:divBdr>
            <w:top w:val="none" w:sz="0" w:space="0" w:color="auto"/>
            <w:left w:val="none" w:sz="0" w:space="0" w:color="auto"/>
            <w:bottom w:val="none" w:sz="0" w:space="0" w:color="auto"/>
            <w:right w:val="none" w:sz="0" w:space="0" w:color="auto"/>
          </w:divBdr>
        </w:div>
        <w:div w:id="166334640">
          <w:marLeft w:val="0"/>
          <w:marRight w:val="0"/>
          <w:marTop w:val="0"/>
          <w:marBottom w:val="0"/>
          <w:divBdr>
            <w:top w:val="none" w:sz="0" w:space="0" w:color="auto"/>
            <w:left w:val="none" w:sz="0" w:space="0" w:color="auto"/>
            <w:bottom w:val="none" w:sz="0" w:space="0" w:color="auto"/>
            <w:right w:val="none" w:sz="0" w:space="0" w:color="auto"/>
          </w:divBdr>
        </w:div>
        <w:div w:id="166605703">
          <w:marLeft w:val="0"/>
          <w:marRight w:val="0"/>
          <w:marTop w:val="0"/>
          <w:marBottom w:val="0"/>
          <w:divBdr>
            <w:top w:val="none" w:sz="0" w:space="0" w:color="auto"/>
            <w:left w:val="none" w:sz="0" w:space="0" w:color="auto"/>
            <w:bottom w:val="none" w:sz="0" w:space="0" w:color="auto"/>
            <w:right w:val="none" w:sz="0" w:space="0" w:color="auto"/>
          </w:divBdr>
        </w:div>
        <w:div w:id="204145673">
          <w:marLeft w:val="0"/>
          <w:marRight w:val="0"/>
          <w:marTop w:val="0"/>
          <w:marBottom w:val="0"/>
          <w:divBdr>
            <w:top w:val="none" w:sz="0" w:space="0" w:color="auto"/>
            <w:left w:val="none" w:sz="0" w:space="0" w:color="auto"/>
            <w:bottom w:val="none" w:sz="0" w:space="0" w:color="auto"/>
            <w:right w:val="none" w:sz="0" w:space="0" w:color="auto"/>
          </w:divBdr>
        </w:div>
        <w:div w:id="225531237">
          <w:marLeft w:val="0"/>
          <w:marRight w:val="0"/>
          <w:marTop w:val="0"/>
          <w:marBottom w:val="0"/>
          <w:divBdr>
            <w:top w:val="none" w:sz="0" w:space="0" w:color="auto"/>
            <w:left w:val="none" w:sz="0" w:space="0" w:color="auto"/>
            <w:bottom w:val="none" w:sz="0" w:space="0" w:color="auto"/>
            <w:right w:val="none" w:sz="0" w:space="0" w:color="auto"/>
          </w:divBdr>
        </w:div>
        <w:div w:id="256595523">
          <w:marLeft w:val="0"/>
          <w:marRight w:val="0"/>
          <w:marTop w:val="0"/>
          <w:marBottom w:val="0"/>
          <w:divBdr>
            <w:top w:val="none" w:sz="0" w:space="0" w:color="auto"/>
            <w:left w:val="none" w:sz="0" w:space="0" w:color="auto"/>
            <w:bottom w:val="none" w:sz="0" w:space="0" w:color="auto"/>
            <w:right w:val="none" w:sz="0" w:space="0" w:color="auto"/>
          </w:divBdr>
        </w:div>
        <w:div w:id="293608709">
          <w:marLeft w:val="0"/>
          <w:marRight w:val="0"/>
          <w:marTop w:val="0"/>
          <w:marBottom w:val="0"/>
          <w:divBdr>
            <w:top w:val="none" w:sz="0" w:space="0" w:color="auto"/>
            <w:left w:val="none" w:sz="0" w:space="0" w:color="auto"/>
            <w:bottom w:val="none" w:sz="0" w:space="0" w:color="auto"/>
            <w:right w:val="none" w:sz="0" w:space="0" w:color="auto"/>
          </w:divBdr>
        </w:div>
        <w:div w:id="317930069">
          <w:marLeft w:val="0"/>
          <w:marRight w:val="0"/>
          <w:marTop w:val="0"/>
          <w:marBottom w:val="0"/>
          <w:divBdr>
            <w:top w:val="none" w:sz="0" w:space="0" w:color="auto"/>
            <w:left w:val="none" w:sz="0" w:space="0" w:color="auto"/>
            <w:bottom w:val="none" w:sz="0" w:space="0" w:color="auto"/>
            <w:right w:val="none" w:sz="0" w:space="0" w:color="auto"/>
          </w:divBdr>
        </w:div>
        <w:div w:id="346903608">
          <w:marLeft w:val="0"/>
          <w:marRight w:val="0"/>
          <w:marTop w:val="0"/>
          <w:marBottom w:val="0"/>
          <w:divBdr>
            <w:top w:val="none" w:sz="0" w:space="0" w:color="auto"/>
            <w:left w:val="none" w:sz="0" w:space="0" w:color="auto"/>
            <w:bottom w:val="none" w:sz="0" w:space="0" w:color="auto"/>
            <w:right w:val="none" w:sz="0" w:space="0" w:color="auto"/>
          </w:divBdr>
        </w:div>
        <w:div w:id="420494493">
          <w:marLeft w:val="0"/>
          <w:marRight w:val="0"/>
          <w:marTop w:val="0"/>
          <w:marBottom w:val="0"/>
          <w:divBdr>
            <w:top w:val="none" w:sz="0" w:space="0" w:color="auto"/>
            <w:left w:val="none" w:sz="0" w:space="0" w:color="auto"/>
            <w:bottom w:val="none" w:sz="0" w:space="0" w:color="auto"/>
            <w:right w:val="none" w:sz="0" w:space="0" w:color="auto"/>
          </w:divBdr>
        </w:div>
        <w:div w:id="435248130">
          <w:marLeft w:val="0"/>
          <w:marRight w:val="0"/>
          <w:marTop w:val="0"/>
          <w:marBottom w:val="0"/>
          <w:divBdr>
            <w:top w:val="none" w:sz="0" w:space="0" w:color="auto"/>
            <w:left w:val="none" w:sz="0" w:space="0" w:color="auto"/>
            <w:bottom w:val="none" w:sz="0" w:space="0" w:color="auto"/>
            <w:right w:val="none" w:sz="0" w:space="0" w:color="auto"/>
          </w:divBdr>
        </w:div>
        <w:div w:id="444930730">
          <w:marLeft w:val="0"/>
          <w:marRight w:val="0"/>
          <w:marTop w:val="0"/>
          <w:marBottom w:val="0"/>
          <w:divBdr>
            <w:top w:val="none" w:sz="0" w:space="0" w:color="auto"/>
            <w:left w:val="none" w:sz="0" w:space="0" w:color="auto"/>
            <w:bottom w:val="none" w:sz="0" w:space="0" w:color="auto"/>
            <w:right w:val="none" w:sz="0" w:space="0" w:color="auto"/>
          </w:divBdr>
        </w:div>
        <w:div w:id="447512456">
          <w:marLeft w:val="0"/>
          <w:marRight w:val="0"/>
          <w:marTop w:val="0"/>
          <w:marBottom w:val="0"/>
          <w:divBdr>
            <w:top w:val="none" w:sz="0" w:space="0" w:color="auto"/>
            <w:left w:val="none" w:sz="0" w:space="0" w:color="auto"/>
            <w:bottom w:val="none" w:sz="0" w:space="0" w:color="auto"/>
            <w:right w:val="none" w:sz="0" w:space="0" w:color="auto"/>
          </w:divBdr>
        </w:div>
        <w:div w:id="456291368">
          <w:marLeft w:val="0"/>
          <w:marRight w:val="0"/>
          <w:marTop w:val="0"/>
          <w:marBottom w:val="0"/>
          <w:divBdr>
            <w:top w:val="none" w:sz="0" w:space="0" w:color="auto"/>
            <w:left w:val="none" w:sz="0" w:space="0" w:color="auto"/>
            <w:bottom w:val="none" w:sz="0" w:space="0" w:color="auto"/>
            <w:right w:val="none" w:sz="0" w:space="0" w:color="auto"/>
          </w:divBdr>
        </w:div>
        <w:div w:id="501898098">
          <w:marLeft w:val="0"/>
          <w:marRight w:val="0"/>
          <w:marTop w:val="0"/>
          <w:marBottom w:val="0"/>
          <w:divBdr>
            <w:top w:val="none" w:sz="0" w:space="0" w:color="auto"/>
            <w:left w:val="none" w:sz="0" w:space="0" w:color="auto"/>
            <w:bottom w:val="none" w:sz="0" w:space="0" w:color="auto"/>
            <w:right w:val="none" w:sz="0" w:space="0" w:color="auto"/>
          </w:divBdr>
        </w:div>
        <w:div w:id="533925823">
          <w:marLeft w:val="0"/>
          <w:marRight w:val="0"/>
          <w:marTop w:val="0"/>
          <w:marBottom w:val="0"/>
          <w:divBdr>
            <w:top w:val="none" w:sz="0" w:space="0" w:color="auto"/>
            <w:left w:val="none" w:sz="0" w:space="0" w:color="auto"/>
            <w:bottom w:val="none" w:sz="0" w:space="0" w:color="auto"/>
            <w:right w:val="none" w:sz="0" w:space="0" w:color="auto"/>
          </w:divBdr>
        </w:div>
        <w:div w:id="557713750">
          <w:marLeft w:val="0"/>
          <w:marRight w:val="0"/>
          <w:marTop w:val="0"/>
          <w:marBottom w:val="0"/>
          <w:divBdr>
            <w:top w:val="none" w:sz="0" w:space="0" w:color="auto"/>
            <w:left w:val="none" w:sz="0" w:space="0" w:color="auto"/>
            <w:bottom w:val="none" w:sz="0" w:space="0" w:color="auto"/>
            <w:right w:val="none" w:sz="0" w:space="0" w:color="auto"/>
          </w:divBdr>
        </w:div>
        <w:div w:id="561840526">
          <w:marLeft w:val="0"/>
          <w:marRight w:val="0"/>
          <w:marTop w:val="0"/>
          <w:marBottom w:val="0"/>
          <w:divBdr>
            <w:top w:val="none" w:sz="0" w:space="0" w:color="auto"/>
            <w:left w:val="none" w:sz="0" w:space="0" w:color="auto"/>
            <w:bottom w:val="none" w:sz="0" w:space="0" w:color="auto"/>
            <w:right w:val="none" w:sz="0" w:space="0" w:color="auto"/>
          </w:divBdr>
        </w:div>
        <w:div w:id="573586903">
          <w:marLeft w:val="0"/>
          <w:marRight w:val="0"/>
          <w:marTop w:val="0"/>
          <w:marBottom w:val="0"/>
          <w:divBdr>
            <w:top w:val="none" w:sz="0" w:space="0" w:color="auto"/>
            <w:left w:val="none" w:sz="0" w:space="0" w:color="auto"/>
            <w:bottom w:val="none" w:sz="0" w:space="0" w:color="auto"/>
            <w:right w:val="none" w:sz="0" w:space="0" w:color="auto"/>
          </w:divBdr>
        </w:div>
        <w:div w:id="580942381">
          <w:marLeft w:val="0"/>
          <w:marRight w:val="0"/>
          <w:marTop w:val="0"/>
          <w:marBottom w:val="0"/>
          <w:divBdr>
            <w:top w:val="none" w:sz="0" w:space="0" w:color="auto"/>
            <w:left w:val="none" w:sz="0" w:space="0" w:color="auto"/>
            <w:bottom w:val="none" w:sz="0" w:space="0" w:color="auto"/>
            <w:right w:val="none" w:sz="0" w:space="0" w:color="auto"/>
          </w:divBdr>
        </w:div>
        <w:div w:id="585190862">
          <w:marLeft w:val="0"/>
          <w:marRight w:val="0"/>
          <w:marTop w:val="0"/>
          <w:marBottom w:val="0"/>
          <w:divBdr>
            <w:top w:val="none" w:sz="0" w:space="0" w:color="auto"/>
            <w:left w:val="none" w:sz="0" w:space="0" w:color="auto"/>
            <w:bottom w:val="none" w:sz="0" w:space="0" w:color="auto"/>
            <w:right w:val="none" w:sz="0" w:space="0" w:color="auto"/>
          </w:divBdr>
        </w:div>
        <w:div w:id="639115211">
          <w:marLeft w:val="0"/>
          <w:marRight w:val="0"/>
          <w:marTop w:val="0"/>
          <w:marBottom w:val="0"/>
          <w:divBdr>
            <w:top w:val="none" w:sz="0" w:space="0" w:color="auto"/>
            <w:left w:val="none" w:sz="0" w:space="0" w:color="auto"/>
            <w:bottom w:val="none" w:sz="0" w:space="0" w:color="auto"/>
            <w:right w:val="none" w:sz="0" w:space="0" w:color="auto"/>
          </w:divBdr>
        </w:div>
        <w:div w:id="670983413">
          <w:marLeft w:val="0"/>
          <w:marRight w:val="0"/>
          <w:marTop w:val="0"/>
          <w:marBottom w:val="0"/>
          <w:divBdr>
            <w:top w:val="none" w:sz="0" w:space="0" w:color="auto"/>
            <w:left w:val="none" w:sz="0" w:space="0" w:color="auto"/>
            <w:bottom w:val="none" w:sz="0" w:space="0" w:color="auto"/>
            <w:right w:val="none" w:sz="0" w:space="0" w:color="auto"/>
          </w:divBdr>
        </w:div>
        <w:div w:id="673915974">
          <w:marLeft w:val="0"/>
          <w:marRight w:val="0"/>
          <w:marTop w:val="0"/>
          <w:marBottom w:val="0"/>
          <w:divBdr>
            <w:top w:val="none" w:sz="0" w:space="0" w:color="auto"/>
            <w:left w:val="none" w:sz="0" w:space="0" w:color="auto"/>
            <w:bottom w:val="none" w:sz="0" w:space="0" w:color="auto"/>
            <w:right w:val="none" w:sz="0" w:space="0" w:color="auto"/>
          </w:divBdr>
        </w:div>
        <w:div w:id="677003999">
          <w:marLeft w:val="0"/>
          <w:marRight w:val="0"/>
          <w:marTop w:val="0"/>
          <w:marBottom w:val="0"/>
          <w:divBdr>
            <w:top w:val="none" w:sz="0" w:space="0" w:color="auto"/>
            <w:left w:val="none" w:sz="0" w:space="0" w:color="auto"/>
            <w:bottom w:val="none" w:sz="0" w:space="0" w:color="auto"/>
            <w:right w:val="none" w:sz="0" w:space="0" w:color="auto"/>
          </w:divBdr>
        </w:div>
        <w:div w:id="678461214">
          <w:marLeft w:val="0"/>
          <w:marRight w:val="0"/>
          <w:marTop w:val="0"/>
          <w:marBottom w:val="0"/>
          <w:divBdr>
            <w:top w:val="none" w:sz="0" w:space="0" w:color="auto"/>
            <w:left w:val="none" w:sz="0" w:space="0" w:color="auto"/>
            <w:bottom w:val="none" w:sz="0" w:space="0" w:color="auto"/>
            <w:right w:val="none" w:sz="0" w:space="0" w:color="auto"/>
          </w:divBdr>
        </w:div>
        <w:div w:id="728529157">
          <w:marLeft w:val="0"/>
          <w:marRight w:val="0"/>
          <w:marTop w:val="0"/>
          <w:marBottom w:val="0"/>
          <w:divBdr>
            <w:top w:val="none" w:sz="0" w:space="0" w:color="auto"/>
            <w:left w:val="none" w:sz="0" w:space="0" w:color="auto"/>
            <w:bottom w:val="none" w:sz="0" w:space="0" w:color="auto"/>
            <w:right w:val="none" w:sz="0" w:space="0" w:color="auto"/>
          </w:divBdr>
        </w:div>
        <w:div w:id="731730208">
          <w:marLeft w:val="0"/>
          <w:marRight w:val="0"/>
          <w:marTop w:val="0"/>
          <w:marBottom w:val="0"/>
          <w:divBdr>
            <w:top w:val="none" w:sz="0" w:space="0" w:color="auto"/>
            <w:left w:val="none" w:sz="0" w:space="0" w:color="auto"/>
            <w:bottom w:val="none" w:sz="0" w:space="0" w:color="auto"/>
            <w:right w:val="none" w:sz="0" w:space="0" w:color="auto"/>
          </w:divBdr>
        </w:div>
        <w:div w:id="731974925">
          <w:marLeft w:val="0"/>
          <w:marRight w:val="0"/>
          <w:marTop w:val="0"/>
          <w:marBottom w:val="0"/>
          <w:divBdr>
            <w:top w:val="none" w:sz="0" w:space="0" w:color="auto"/>
            <w:left w:val="none" w:sz="0" w:space="0" w:color="auto"/>
            <w:bottom w:val="none" w:sz="0" w:space="0" w:color="auto"/>
            <w:right w:val="none" w:sz="0" w:space="0" w:color="auto"/>
          </w:divBdr>
        </w:div>
        <w:div w:id="739791756">
          <w:marLeft w:val="0"/>
          <w:marRight w:val="0"/>
          <w:marTop w:val="0"/>
          <w:marBottom w:val="0"/>
          <w:divBdr>
            <w:top w:val="none" w:sz="0" w:space="0" w:color="auto"/>
            <w:left w:val="none" w:sz="0" w:space="0" w:color="auto"/>
            <w:bottom w:val="none" w:sz="0" w:space="0" w:color="auto"/>
            <w:right w:val="none" w:sz="0" w:space="0" w:color="auto"/>
          </w:divBdr>
        </w:div>
        <w:div w:id="776486874">
          <w:marLeft w:val="0"/>
          <w:marRight w:val="0"/>
          <w:marTop w:val="0"/>
          <w:marBottom w:val="0"/>
          <w:divBdr>
            <w:top w:val="none" w:sz="0" w:space="0" w:color="auto"/>
            <w:left w:val="none" w:sz="0" w:space="0" w:color="auto"/>
            <w:bottom w:val="none" w:sz="0" w:space="0" w:color="auto"/>
            <w:right w:val="none" w:sz="0" w:space="0" w:color="auto"/>
          </w:divBdr>
        </w:div>
        <w:div w:id="807749138">
          <w:marLeft w:val="0"/>
          <w:marRight w:val="0"/>
          <w:marTop w:val="0"/>
          <w:marBottom w:val="0"/>
          <w:divBdr>
            <w:top w:val="none" w:sz="0" w:space="0" w:color="auto"/>
            <w:left w:val="none" w:sz="0" w:space="0" w:color="auto"/>
            <w:bottom w:val="none" w:sz="0" w:space="0" w:color="auto"/>
            <w:right w:val="none" w:sz="0" w:space="0" w:color="auto"/>
          </w:divBdr>
        </w:div>
        <w:div w:id="821238761">
          <w:marLeft w:val="0"/>
          <w:marRight w:val="0"/>
          <w:marTop w:val="0"/>
          <w:marBottom w:val="0"/>
          <w:divBdr>
            <w:top w:val="none" w:sz="0" w:space="0" w:color="auto"/>
            <w:left w:val="none" w:sz="0" w:space="0" w:color="auto"/>
            <w:bottom w:val="none" w:sz="0" w:space="0" w:color="auto"/>
            <w:right w:val="none" w:sz="0" w:space="0" w:color="auto"/>
          </w:divBdr>
        </w:div>
        <w:div w:id="837235593">
          <w:marLeft w:val="0"/>
          <w:marRight w:val="0"/>
          <w:marTop w:val="0"/>
          <w:marBottom w:val="0"/>
          <w:divBdr>
            <w:top w:val="none" w:sz="0" w:space="0" w:color="auto"/>
            <w:left w:val="none" w:sz="0" w:space="0" w:color="auto"/>
            <w:bottom w:val="none" w:sz="0" w:space="0" w:color="auto"/>
            <w:right w:val="none" w:sz="0" w:space="0" w:color="auto"/>
          </w:divBdr>
        </w:div>
        <w:div w:id="837384776">
          <w:marLeft w:val="0"/>
          <w:marRight w:val="0"/>
          <w:marTop w:val="0"/>
          <w:marBottom w:val="0"/>
          <w:divBdr>
            <w:top w:val="none" w:sz="0" w:space="0" w:color="auto"/>
            <w:left w:val="none" w:sz="0" w:space="0" w:color="auto"/>
            <w:bottom w:val="none" w:sz="0" w:space="0" w:color="auto"/>
            <w:right w:val="none" w:sz="0" w:space="0" w:color="auto"/>
          </w:divBdr>
        </w:div>
        <w:div w:id="866335444">
          <w:marLeft w:val="0"/>
          <w:marRight w:val="0"/>
          <w:marTop w:val="0"/>
          <w:marBottom w:val="0"/>
          <w:divBdr>
            <w:top w:val="none" w:sz="0" w:space="0" w:color="auto"/>
            <w:left w:val="none" w:sz="0" w:space="0" w:color="auto"/>
            <w:bottom w:val="none" w:sz="0" w:space="0" w:color="auto"/>
            <w:right w:val="none" w:sz="0" w:space="0" w:color="auto"/>
          </w:divBdr>
        </w:div>
        <w:div w:id="883059821">
          <w:marLeft w:val="0"/>
          <w:marRight w:val="0"/>
          <w:marTop w:val="0"/>
          <w:marBottom w:val="0"/>
          <w:divBdr>
            <w:top w:val="none" w:sz="0" w:space="0" w:color="auto"/>
            <w:left w:val="none" w:sz="0" w:space="0" w:color="auto"/>
            <w:bottom w:val="none" w:sz="0" w:space="0" w:color="auto"/>
            <w:right w:val="none" w:sz="0" w:space="0" w:color="auto"/>
          </w:divBdr>
        </w:div>
        <w:div w:id="922029165">
          <w:marLeft w:val="0"/>
          <w:marRight w:val="0"/>
          <w:marTop w:val="0"/>
          <w:marBottom w:val="0"/>
          <w:divBdr>
            <w:top w:val="none" w:sz="0" w:space="0" w:color="auto"/>
            <w:left w:val="none" w:sz="0" w:space="0" w:color="auto"/>
            <w:bottom w:val="none" w:sz="0" w:space="0" w:color="auto"/>
            <w:right w:val="none" w:sz="0" w:space="0" w:color="auto"/>
          </w:divBdr>
        </w:div>
        <w:div w:id="926695352">
          <w:marLeft w:val="0"/>
          <w:marRight w:val="0"/>
          <w:marTop w:val="0"/>
          <w:marBottom w:val="0"/>
          <w:divBdr>
            <w:top w:val="none" w:sz="0" w:space="0" w:color="auto"/>
            <w:left w:val="none" w:sz="0" w:space="0" w:color="auto"/>
            <w:bottom w:val="none" w:sz="0" w:space="0" w:color="auto"/>
            <w:right w:val="none" w:sz="0" w:space="0" w:color="auto"/>
          </w:divBdr>
        </w:div>
        <w:div w:id="930629438">
          <w:marLeft w:val="0"/>
          <w:marRight w:val="0"/>
          <w:marTop w:val="0"/>
          <w:marBottom w:val="0"/>
          <w:divBdr>
            <w:top w:val="none" w:sz="0" w:space="0" w:color="auto"/>
            <w:left w:val="none" w:sz="0" w:space="0" w:color="auto"/>
            <w:bottom w:val="none" w:sz="0" w:space="0" w:color="auto"/>
            <w:right w:val="none" w:sz="0" w:space="0" w:color="auto"/>
          </w:divBdr>
        </w:div>
        <w:div w:id="935820217">
          <w:marLeft w:val="0"/>
          <w:marRight w:val="0"/>
          <w:marTop w:val="0"/>
          <w:marBottom w:val="0"/>
          <w:divBdr>
            <w:top w:val="none" w:sz="0" w:space="0" w:color="auto"/>
            <w:left w:val="none" w:sz="0" w:space="0" w:color="auto"/>
            <w:bottom w:val="none" w:sz="0" w:space="0" w:color="auto"/>
            <w:right w:val="none" w:sz="0" w:space="0" w:color="auto"/>
          </w:divBdr>
        </w:div>
        <w:div w:id="938679188">
          <w:marLeft w:val="0"/>
          <w:marRight w:val="0"/>
          <w:marTop w:val="0"/>
          <w:marBottom w:val="0"/>
          <w:divBdr>
            <w:top w:val="none" w:sz="0" w:space="0" w:color="auto"/>
            <w:left w:val="none" w:sz="0" w:space="0" w:color="auto"/>
            <w:bottom w:val="none" w:sz="0" w:space="0" w:color="auto"/>
            <w:right w:val="none" w:sz="0" w:space="0" w:color="auto"/>
          </w:divBdr>
        </w:div>
        <w:div w:id="947278420">
          <w:marLeft w:val="0"/>
          <w:marRight w:val="0"/>
          <w:marTop w:val="0"/>
          <w:marBottom w:val="0"/>
          <w:divBdr>
            <w:top w:val="none" w:sz="0" w:space="0" w:color="auto"/>
            <w:left w:val="none" w:sz="0" w:space="0" w:color="auto"/>
            <w:bottom w:val="none" w:sz="0" w:space="0" w:color="auto"/>
            <w:right w:val="none" w:sz="0" w:space="0" w:color="auto"/>
          </w:divBdr>
        </w:div>
        <w:div w:id="961693157">
          <w:marLeft w:val="0"/>
          <w:marRight w:val="0"/>
          <w:marTop w:val="0"/>
          <w:marBottom w:val="0"/>
          <w:divBdr>
            <w:top w:val="none" w:sz="0" w:space="0" w:color="auto"/>
            <w:left w:val="none" w:sz="0" w:space="0" w:color="auto"/>
            <w:bottom w:val="none" w:sz="0" w:space="0" w:color="auto"/>
            <w:right w:val="none" w:sz="0" w:space="0" w:color="auto"/>
          </w:divBdr>
        </w:div>
        <w:div w:id="974022269">
          <w:marLeft w:val="0"/>
          <w:marRight w:val="0"/>
          <w:marTop w:val="0"/>
          <w:marBottom w:val="0"/>
          <w:divBdr>
            <w:top w:val="none" w:sz="0" w:space="0" w:color="auto"/>
            <w:left w:val="none" w:sz="0" w:space="0" w:color="auto"/>
            <w:bottom w:val="none" w:sz="0" w:space="0" w:color="auto"/>
            <w:right w:val="none" w:sz="0" w:space="0" w:color="auto"/>
          </w:divBdr>
        </w:div>
        <w:div w:id="982395688">
          <w:marLeft w:val="0"/>
          <w:marRight w:val="0"/>
          <w:marTop w:val="0"/>
          <w:marBottom w:val="0"/>
          <w:divBdr>
            <w:top w:val="none" w:sz="0" w:space="0" w:color="auto"/>
            <w:left w:val="none" w:sz="0" w:space="0" w:color="auto"/>
            <w:bottom w:val="none" w:sz="0" w:space="0" w:color="auto"/>
            <w:right w:val="none" w:sz="0" w:space="0" w:color="auto"/>
          </w:divBdr>
        </w:div>
        <w:div w:id="996106069">
          <w:marLeft w:val="0"/>
          <w:marRight w:val="0"/>
          <w:marTop w:val="0"/>
          <w:marBottom w:val="0"/>
          <w:divBdr>
            <w:top w:val="none" w:sz="0" w:space="0" w:color="auto"/>
            <w:left w:val="none" w:sz="0" w:space="0" w:color="auto"/>
            <w:bottom w:val="none" w:sz="0" w:space="0" w:color="auto"/>
            <w:right w:val="none" w:sz="0" w:space="0" w:color="auto"/>
          </w:divBdr>
        </w:div>
        <w:div w:id="1013411284">
          <w:marLeft w:val="0"/>
          <w:marRight w:val="0"/>
          <w:marTop w:val="0"/>
          <w:marBottom w:val="0"/>
          <w:divBdr>
            <w:top w:val="none" w:sz="0" w:space="0" w:color="auto"/>
            <w:left w:val="none" w:sz="0" w:space="0" w:color="auto"/>
            <w:bottom w:val="none" w:sz="0" w:space="0" w:color="auto"/>
            <w:right w:val="none" w:sz="0" w:space="0" w:color="auto"/>
          </w:divBdr>
        </w:div>
        <w:div w:id="1021276632">
          <w:marLeft w:val="0"/>
          <w:marRight w:val="0"/>
          <w:marTop w:val="0"/>
          <w:marBottom w:val="0"/>
          <w:divBdr>
            <w:top w:val="none" w:sz="0" w:space="0" w:color="auto"/>
            <w:left w:val="none" w:sz="0" w:space="0" w:color="auto"/>
            <w:bottom w:val="none" w:sz="0" w:space="0" w:color="auto"/>
            <w:right w:val="none" w:sz="0" w:space="0" w:color="auto"/>
          </w:divBdr>
        </w:div>
        <w:div w:id="1038243158">
          <w:marLeft w:val="0"/>
          <w:marRight w:val="0"/>
          <w:marTop w:val="0"/>
          <w:marBottom w:val="0"/>
          <w:divBdr>
            <w:top w:val="none" w:sz="0" w:space="0" w:color="auto"/>
            <w:left w:val="none" w:sz="0" w:space="0" w:color="auto"/>
            <w:bottom w:val="none" w:sz="0" w:space="0" w:color="auto"/>
            <w:right w:val="none" w:sz="0" w:space="0" w:color="auto"/>
          </w:divBdr>
        </w:div>
        <w:div w:id="1046686418">
          <w:marLeft w:val="0"/>
          <w:marRight w:val="0"/>
          <w:marTop w:val="0"/>
          <w:marBottom w:val="0"/>
          <w:divBdr>
            <w:top w:val="none" w:sz="0" w:space="0" w:color="auto"/>
            <w:left w:val="none" w:sz="0" w:space="0" w:color="auto"/>
            <w:bottom w:val="none" w:sz="0" w:space="0" w:color="auto"/>
            <w:right w:val="none" w:sz="0" w:space="0" w:color="auto"/>
          </w:divBdr>
        </w:div>
        <w:div w:id="1068381824">
          <w:marLeft w:val="0"/>
          <w:marRight w:val="0"/>
          <w:marTop w:val="0"/>
          <w:marBottom w:val="0"/>
          <w:divBdr>
            <w:top w:val="none" w:sz="0" w:space="0" w:color="auto"/>
            <w:left w:val="none" w:sz="0" w:space="0" w:color="auto"/>
            <w:bottom w:val="none" w:sz="0" w:space="0" w:color="auto"/>
            <w:right w:val="none" w:sz="0" w:space="0" w:color="auto"/>
          </w:divBdr>
        </w:div>
        <w:div w:id="1069495538">
          <w:marLeft w:val="0"/>
          <w:marRight w:val="0"/>
          <w:marTop w:val="0"/>
          <w:marBottom w:val="0"/>
          <w:divBdr>
            <w:top w:val="none" w:sz="0" w:space="0" w:color="auto"/>
            <w:left w:val="none" w:sz="0" w:space="0" w:color="auto"/>
            <w:bottom w:val="none" w:sz="0" w:space="0" w:color="auto"/>
            <w:right w:val="none" w:sz="0" w:space="0" w:color="auto"/>
          </w:divBdr>
        </w:div>
        <w:div w:id="1103305187">
          <w:marLeft w:val="0"/>
          <w:marRight w:val="0"/>
          <w:marTop w:val="0"/>
          <w:marBottom w:val="0"/>
          <w:divBdr>
            <w:top w:val="none" w:sz="0" w:space="0" w:color="auto"/>
            <w:left w:val="none" w:sz="0" w:space="0" w:color="auto"/>
            <w:bottom w:val="none" w:sz="0" w:space="0" w:color="auto"/>
            <w:right w:val="none" w:sz="0" w:space="0" w:color="auto"/>
          </w:divBdr>
        </w:div>
        <w:div w:id="1120299313">
          <w:marLeft w:val="0"/>
          <w:marRight w:val="0"/>
          <w:marTop w:val="0"/>
          <w:marBottom w:val="0"/>
          <w:divBdr>
            <w:top w:val="none" w:sz="0" w:space="0" w:color="auto"/>
            <w:left w:val="none" w:sz="0" w:space="0" w:color="auto"/>
            <w:bottom w:val="none" w:sz="0" w:space="0" w:color="auto"/>
            <w:right w:val="none" w:sz="0" w:space="0" w:color="auto"/>
          </w:divBdr>
        </w:div>
        <w:div w:id="1156608095">
          <w:marLeft w:val="0"/>
          <w:marRight w:val="0"/>
          <w:marTop w:val="0"/>
          <w:marBottom w:val="0"/>
          <w:divBdr>
            <w:top w:val="none" w:sz="0" w:space="0" w:color="auto"/>
            <w:left w:val="none" w:sz="0" w:space="0" w:color="auto"/>
            <w:bottom w:val="none" w:sz="0" w:space="0" w:color="auto"/>
            <w:right w:val="none" w:sz="0" w:space="0" w:color="auto"/>
          </w:divBdr>
        </w:div>
        <w:div w:id="1179006387">
          <w:marLeft w:val="0"/>
          <w:marRight w:val="0"/>
          <w:marTop w:val="0"/>
          <w:marBottom w:val="0"/>
          <w:divBdr>
            <w:top w:val="none" w:sz="0" w:space="0" w:color="auto"/>
            <w:left w:val="none" w:sz="0" w:space="0" w:color="auto"/>
            <w:bottom w:val="none" w:sz="0" w:space="0" w:color="auto"/>
            <w:right w:val="none" w:sz="0" w:space="0" w:color="auto"/>
          </w:divBdr>
        </w:div>
        <w:div w:id="1241528006">
          <w:marLeft w:val="0"/>
          <w:marRight w:val="0"/>
          <w:marTop w:val="0"/>
          <w:marBottom w:val="0"/>
          <w:divBdr>
            <w:top w:val="none" w:sz="0" w:space="0" w:color="auto"/>
            <w:left w:val="none" w:sz="0" w:space="0" w:color="auto"/>
            <w:bottom w:val="none" w:sz="0" w:space="0" w:color="auto"/>
            <w:right w:val="none" w:sz="0" w:space="0" w:color="auto"/>
          </w:divBdr>
        </w:div>
        <w:div w:id="1287658273">
          <w:marLeft w:val="0"/>
          <w:marRight w:val="0"/>
          <w:marTop w:val="0"/>
          <w:marBottom w:val="0"/>
          <w:divBdr>
            <w:top w:val="none" w:sz="0" w:space="0" w:color="auto"/>
            <w:left w:val="none" w:sz="0" w:space="0" w:color="auto"/>
            <w:bottom w:val="none" w:sz="0" w:space="0" w:color="auto"/>
            <w:right w:val="none" w:sz="0" w:space="0" w:color="auto"/>
          </w:divBdr>
        </w:div>
        <w:div w:id="1293444668">
          <w:marLeft w:val="0"/>
          <w:marRight w:val="0"/>
          <w:marTop w:val="0"/>
          <w:marBottom w:val="0"/>
          <w:divBdr>
            <w:top w:val="none" w:sz="0" w:space="0" w:color="auto"/>
            <w:left w:val="none" w:sz="0" w:space="0" w:color="auto"/>
            <w:bottom w:val="none" w:sz="0" w:space="0" w:color="auto"/>
            <w:right w:val="none" w:sz="0" w:space="0" w:color="auto"/>
          </w:divBdr>
        </w:div>
        <w:div w:id="1314723419">
          <w:marLeft w:val="0"/>
          <w:marRight w:val="0"/>
          <w:marTop w:val="0"/>
          <w:marBottom w:val="0"/>
          <w:divBdr>
            <w:top w:val="none" w:sz="0" w:space="0" w:color="auto"/>
            <w:left w:val="none" w:sz="0" w:space="0" w:color="auto"/>
            <w:bottom w:val="none" w:sz="0" w:space="0" w:color="auto"/>
            <w:right w:val="none" w:sz="0" w:space="0" w:color="auto"/>
          </w:divBdr>
        </w:div>
        <w:div w:id="1324897165">
          <w:marLeft w:val="0"/>
          <w:marRight w:val="0"/>
          <w:marTop w:val="0"/>
          <w:marBottom w:val="0"/>
          <w:divBdr>
            <w:top w:val="none" w:sz="0" w:space="0" w:color="auto"/>
            <w:left w:val="none" w:sz="0" w:space="0" w:color="auto"/>
            <w:bottom w:val="none" w:sz="0" w:space="0" w:color="auto"/>
            <w:right w:val="none" w:sz="0" w:space="0" w:color="auto"/>
          </w:divBdr>
        </w:div>
        <w:div w:id="1334725649">
          <w:marLeft w:val="0"/>
          <w:marRight w:val="0"/>
          <w:marTop w:val="0"/>
          <w:marBottom w:val="0"/>
          <w:divBdr>
            <w:top w:val="none" w:sz="0" w:space="0" w:color="auto"/>
            <w:left w:val="none" w:sz="0" w:space="0" w:color="auto"/>
            <w:bottom w:val="none" w:sz="0" w:space="0" w:color="auto"/>
            <w:right w:val="none" w:sz="0" w:space="0" w:color="auto"/>
          </w:divBdr>
        </w:div>
        <w:div w:id="1337924140">
          <w:marLeft w:val="0"/>
          <w:marRight w:val="0"/>
          <w:marTop w:val="0"/>
          <w:marBottom w:val="0"/>
          <w:divBdr>
            <w:top w:val="none" w:sz="0" w:space="0" w:color="auto"/>
            <w:left w:val="none" w:sz="0" w:space="0" w:color="auto"/>
            <w:bottom w:val="none" w:sz="0" w:space="0" w:color="auto"/>
            <w:right w:val="none" w:sz="0" w:space="0" w:color="auto"/>
          </w:divBdr>
        </w:div>
        <w:div w:id="1430737093">
          <w:marLeft w:val="0"/>
          <w:marRight w:val="0"/>
          <w:marTop w:val="0"/>
          <w:marBottom w:val="0"/>
          <w:divBdr>
            <w:top w:val="none" w:sz="0" w:space="0" w:color="auto"/>
            <w:left w:val="none" w:sz="0" w:space="0" w:color="auto"/>
            <w:bottom w:val="none" w:sz="0" w:space="0" w:color="auto"/>
            <w:right w:val="none" w:sz="0" w:space="0" w:color="auto"/>
          </w:divBdr>
        </w:div>
        <w:div w:id="1436246850">
          <w:marLeft w:val="0"/>
          <w:marRight w:val="0"/>
          <w:marTop w:val="0"/>
          <w:marBottom w:val="0"/>
          <w:divBdr>
            <w:top w:val="none" w:sz="0" w:space="0" w:color="auto"/>
            <w:left w:val="none" w:sz="0" w:space="0" w:color="auto"/>
            <w:bottom w:val="none" w:sz="0" w:space="0" w:color="auto"/>
            <w:right w:val="none" w:sz="0" w:space="0" w:color="auto"/>
          </w:divBdr>
        </w:div>
        <w:div w:id="1436555001">
          <w:marLeft w:val="0"/>
          <w:marRight w:val="0"/>
          <w:marTop w:val="0"/>
          <w:marBottom w:val="0"/>
          <w:divBdr>
            <w:top w:val="none" w:sz="0" w:space="0" w:color="auto"/>
            <w:left w:val="none" w:sz="0" w:space="0" w:color="auto"/>
            <w:bottom w:val="none" w:sz="0" w:space="0" w:color="auto"/>
            <w:right w:val="none" w:sz="0" w:space="0" w:color="auto"/>
          </w:divBdr>
        </w:div>
        <w:div w:id="1476217285">
          <w:marLeft w:val="0"/>
          <w:marRight w:val="0"/>
          <w:marTop w:val="0"/>
          <w:marBottom w:val="0"/>
          <w:divBdr>
            <w:top w:val="none" w:sz="0" w:space="0" w:color="auto"/>
            <w:left w:val="none" w:sz="0" w:space="0" w:color="auto"/>
            <w:bottom w:val="none" w:sz="0" w:space="0" w:color="auto"/>
            <w:right w:val="none" w:sz="0" w:space="0" w:color="auto"/>
          </w:divBdr>
        </w:div>
        <w:div w:id="1479957311">
          <w:marLeft w:val="0"/>
          <w:marRight w:val="0"/>
          <w:marTop w:val="0"/>
          <w:marBottom w:val="0"/>
          <w:divBdr>
            <w:top w:val="none" w:sz="0" w:space="0" w:color="auto"/>
            <w:left w:val="none" w:sz="0" w:space="0" w:color="auto"/>
            <w:bottom w:val="none" w:sz="0" w:space="0" w:color="auto"/>
            <w:right w:val="none" w:sz="0" w:space="0" w:color="auto"/>
          </w:divBdr>
        </w:div>
        <w:div w:id="1491602209">
          <w:marLeft w:val="0"/>
          <w:marRight w:val="0"/>
          <w:marTop w:val="0"/>
          <w:marBottom w:val="0"/>
          <w:divBdr>
            <w:top w:val="none" w:sz="0" w:space="0" w:color="auto"/>
            <w:left w:val="none" w:sz="0" w:space="0" w:color="auto"/>
            <w:bottom w:val="none" w:sz="0" w:space="0" w:color="auto"/>
            <w:right w:val="none" w:sz="0" w:space="0" w:color="auto"/>
          </w:divBdr>
        </w:div>
        <w:div w:id="1529877035">
          <w:marLeft w:val="0"/>
          <w:marRight w:val="0"/>
          <w:marTop w:val="0"/>
          <w:marBottom w:val="0"/>
          <w:divBdr>
            <w:top w:val="none" w:sz="0" w:space="0" w:color="auto"/>
            <w:left w:val="none" w:sz="0" w:space="0" w:color="auto"/>
            <w:bottom w:val="none" w:sz="0" w:space="0" w:color="auto"/>
            <w:right w:val="none" w:sz="0" w:space="0" w:color="auto"/>
          </w:divBdr>
        </w:div>
        <w:div w:id="1534686038">
          <w:marLeft w:val="0"/>
          <w:marRight w:val="0"/>
          <w:marTop w:val="0"/>
          <w:marBottom w:val="0"/>
          <w:divBdr>
            <w:top w:val="none" w:sz="0" w:space="0" w:color="auto"/>
            <w:left w:val="none" w:sz="0" w:space="0" w:color="auto"/>
            <w:bottom w:val="none" w:sz="0" w:space="0" w:color="auto"/>
            <w:right w:val="none" w:sz="0" w:space="0" w:color="auto"/>
          </w:divBdr>
        </w:div>
        <w:div w:id="1543784550">
          <w:marLeft w:val="0"/>
          <w:marRight w:val="0"/>
          <w:marTop w:val="0"/>
          <w:marBottom w:val="0"/>
          <w:divBdr>
            <w:top w:val="none" w:sz="0" w:space="0" w:color="auto"/>
            <w:left w:val="none" w:sz="0" w:space="0" w:color="auto"/>
            <w:bottom w:val="none" w:sz="0" w:space="0" w:color="auto"/>
            <w:right w:val="none" w:sz="0" w:space="0" w:color="auto"/>
          </w:divBdr>
        </w:div>
        <w:div w:id="1558127821">
          <w:marLeft w:val="0"/>
          <w:marRight w:val="0"/>
          <w:marTop w:val="0"/>
          <w:marBottom w:val="0"/>
          <w:divBdr>
            <w:top w:val="none" w:sz="0" w:space="0" w:color="auto"/>
            <w:left w:val="none" w:sz="0" w:space="0" w:color="auto"/>
            <w:bottom w:val="none" w:sz="0" w:space="0" w:color="auto"/>
            <w:right w:val="none" w:sz="0" w:space="0" w:color="auto"/>
          </w:divBdr>
        </w:div>
        <w:div w:id="1614170834">
          <w:marLeft w:val="0"/>
          <w:marRight w:val="0"/>
          <w:marTop w:val="0"/>
          <w:marBottom w:val="0"/>
          <w:divBdr>
            <w:top w:val="none" w:sz="0" w:space="0" w:color="auto"/>
            <w:left w:val="none" w:sz="0" w:space="0" w:color="auto"/>
            <w:bottom w:val="none" w:sz="0" w:space="0" w:color="auto"/>
            <w:right w:val="none" w:sz="0" w:space="0" w:color="auto"/>
          </w:divBdr>
        </w:div>
        <w:div w:id="1646855253">
          <w:marLeft w:val="0"/>
          <w:marRight w:val="0"/>
          <w:marTop w:val="0"/>
          <w:marBottom w:val="0"/>
          <w:divBdr>
            <w:top w:val="none" w:sz="0" w:space="0" w:color="auto"/>
            <w:left w:val="none" w:sz="0" w:space="0" w:color="auto"/>
            <w:bottom w:val="none" w:sz="0" w:space="0" w:color="auto"/>
            <w:right w:val="none" w:sz="0" w:space="0" w:color="auto"/>
          </w:divBdr>
        </w:div>
        <w:div w:id="1655374302">
          <w:marLeft w:val="0"/>
          <w:marRight w:val="0"/>
          <w:marTop w:val="0"/>
          <w:marBottom w:val="0"/>
          <w:divBdr>
            <w:top w:val="none" w:sz="0" w:space="0" w:color="auto"/>
            <w:left w:val="none" w:sz="0" w:space="0" w:color="auto"/>
            <w:bottom w:val="none" w:sz="0" w:space="0" w:color="auto"/>
            <w:right w:val="none" w:sz="0" w:space="0" w:color="auto"/>
          </w:divBdr>
        </w:div>
        <w:div w:id="1657807412">
          <w:marLeft w:val="0"/>
          <w:marRight w:val="0"/>
          <w:marTop w:val="0"/>
          <w:marBottom w:val="0"/>
          <w:divBdr>
            <w:top w:val="none" w:sz="0" w:space="0" w:color="auto"/>
            <w:left w:val="none" w:sz="0" w:space="0" w:color="auto"/>
            <w:bottom w:val="none" w:sz="0" w:space="0" w:color="auto"/>
            <w:right w:val="none" w:sz="0" w:space="0" w:color="auto"/>
          </w:divBdr>
        </w:div>
        <w:div w:id="1662856143">
          <w:marLeft w:val="0"/>
          <w:marRight w:val="0"/>
          <w:marTop w:val="0"/>
          <w:marBottom w:val="0"/>
          <w:divBdr>
            <w:top w:val="none" w:sz="0" w:space="0" w:color="auto"/>
            <w:left w:val="none" w:sz="0" w:space="0" w:color="auto"/>
            <w:bottom w:val="none" w:sz="0" w:space="0" w:color="auto"/>
            <w:right w:val="none" w:sz="0" w:space="0" w:color="auto"/>
          </w:divBdr>
        </w:div>
        <w:div w:id="1673143378">
          <w:marLeft w:val="0"/>
          <w:marRight w:val="0"/>
          <w:marTop w:val="0"/>
          <w:marBottom w:val="0"/>
          <w:divBdr>
            <w:top w:val="none" w:sz="0" w:space="0" w:color="auto"/>
            <w:left w:val="none" w:sz="0" w:space="0" w:color="auto"/>
            <w:bottom w:val="none" w:sz="0" w:space="0" w:color="auto"/>
            <w:right w:val="none" w:sz="0" w:space="0" w:color="auto"/>
          </w:divBdr>
        </w:div>
        <w:div w:id="1678193709">
          <w:marLeft w:val="0"/>
          <w:marRight w:val="0"/>
          <w:marTop w:val="0"/>
          <w:marBottom w:val="0"/>
          <w:divBdr>
            <w:top w:val="none" w:sz="0" w:space="0" w:color="auto"/>
            <w:left w:val="none" w:sz="0" w:space="0" w:color="auto"/>
            <w:bottom w:val="none" w:sz="0" w:space="0" w:color="auto"/>
            <w:right w:val="none" w:sz="0" w:space="0" w:color="auto"/>
          </w:divBdr>
        </w:div>
        <w:div w:id="1693995632">
          <w:marLeft w:val="0"/>
          <w:marRight w:val="0"/>
          <w:marTop w:val="0"/>
          <w:marBottom w:val="0"/>
          <w:divBdr>
            <w:top w:val="none" w:sz="0" w:space="0" w:color="auto"/>
            <w:left w:val="none" w:sz="0" w:space="0" w:color="auto"/>
            <w:bottom w:val="none" w:sz="0" w:space="0" w:color="auto"/>
            <w:right w:val="none" w:sz="0" w:space="0" w:color="auto"/>
          </w:divBdr>
        </w:div>
        <w:div w:id="1704556578">
          <w:marLeft w:val="0"/>
          <w:marRight w:val="0"/>
          <w:marTop w:val="0"/>
          <w:marBottom w:val="0"/>
          <w:divBdr>
            <w:top w:val="none" w:sz="0" w:space="0" w:color="auto"/>
            <w:left w:val="none" w:sz="0" w:space="0" w:color="auto"/>
            <w:bottom w:val="none" w:sz="0" w:space="0" w:color="auto"/>
            <w:right w:val="none" w:sz="0" w:space="0" w:color="auto"/>
          </w:divBdr>
        </w:div>
        <w:div w:id="1728381466">
          <w:marLeft w:val="0"/>
          <w:marRight w:val="0"/>
          <w:marTop w:val="0"/>
          <w:marBottom w:val="0"/>
          <w:divBdr>
            <w:top w:val="none" w:sz="0" w:space="0" w:color="auto"/>
            <w:left w:val="none" w:sz="0" w:space="0" w:color="auto"/>
            <w:bottom w:val="none" w:sz="0" w:space="0" w:color="auto"/>
            <w:right w:val="none" w:sz="0" w:space="0" w:color="auto"/>
          </w:divBdr>
        </w:div>
        <w:div w:id="1801143790">
          <w:marLeft w:val="0"/>
          <w:marRight w:val="0"/>
          <w:marTop w:val="0"/>
          <w:marBottom w:val="0"/>
          <w:divBdr>
            <w:top w:val="none" w:sz="0" w:space="0" w:color="auto"/>
            <w:left w:val="none" w:sz="0" w:space="0" w:color="auto"/>
            <w:bottom w:val="none" w:sz="0" w:space="0" w:color="auto"/>
            <w:right w:val="none" w:sz="0" w:space="0" w:color="auto"/>
          </w:divBdr>
        </w:div>
        <w:div w:id="1806579577">
          <w:marLeft w:val="0"/>
          <w:marRight w:val="0"/>
          <w:marTop w:val="0"/>
          <w:marBottom w:val="0"/>
          <w:divBdr>
            <w:top w:val="none" w:sz="0" w:space="0" w:color="auto"/>
            <w:left w:val="none" w:sz="0" w:space="0" w:color="auto"/>
            <w:bottom w:val="none" w:sz="0" w:space="0" w:color="auto"/>
            <w:right w:val="none" w:sz="0" w:space="0" w:color="auto"/>
          </w:divBdr>
        </w:div>
        <w:div w:id="1816801009">
          <w:marLeft w:val="0"/>
          <w:marRight w:val="0"/>
          <w:marTop w:val="0"/>
          <w:marBottom w:val="0"/>
          <w:divBdr>
            <w:top w:val="none" w:sz="0" w:space="0" w:color="auto"/>
            <w:left w:val="none" w:sz="0" w:space="0" w:color="auto"/>
            <w:bottom w:val="none" w:sz="0" w:space="0" w:color="auto"/>
            <w:right w:val="none" w:sz="0" w:space="0" w:color="auto"/>
          </w:divBdr>
        </w:div>
        <w:div w:id="1829907562">
          <w:marLeft w:val="0"/>
          <w:marRight w:val="0"/>
          <w:marTop w:val="0"/>
          <w:marBottom w:val="0"/>
          <w:divBdr>
            <w:top w:val="none" w:sz="0" w:space="0" w:color="auto"/>
            <w:left w:val="none" w:sz="0" w:space="0" w:color="auto"/>
            <w:bottom w:val="none" w:sz="0" w:space="0" w:color="auto"/>
            <w:right w:val="none" w:sz="0" w:space="0" w:color="auto"/>
          </w:divBdr>
        </w:div>
        <w:div w:id="1841457369">
          <w:marLeft w:val="0"/>
          <w:marRight w:val="0"/>
          <w:marTop w:val="0"/>
          <w:marBottom w:val="0"/>
          <w:divBdr>
            <w:top w:val="none" w:sz="0" w:space="0" w:color="auto"/>
            <w:left w:val="none" w:sz="0" w:space="0" w:color="auto"/>
            <w:bottom w:val="none" w:sz="0" w:space="0" w:color="auto"/>
            <w:right w:val="none" w:sz="0" w:space="0" w:color="auto"/>
          </w:divBdr>
        </w:div>
        <w:div w:id="1861045460">
          <w:marLeft w:val="0"/>
          <w:marRight w:val="0"/>
          <w:marTop w:val="0"/>
          <w:marBottom w:val="0"/>
          <w:divBdr>
            <w:top w:val="none" w:sz="0" w:space="0" w:color="auto"/>
            <w:left w:val="none" w:sz="0" w:space="0" w:color="auto"/>
            <w:bottom w:val="none" w:sz="0" w:space="0" w:color="auto"/>
            <w:right w:val="none" w:sz="0" w:space="0" w:color="auto"/>
          </w:divBdr>
        </w:div>
        <w:div w:id="1883977171">
          <w:marLeft w:val="0"/>
          <w:marRight w:val="0"/>
          <w:marTop w:val="0"/>
          <w:marBottom w:val="0"/>
          <w:divBdr>
            <w:top w:val="none" w:sz="0" w:space="0" w:color="auto"/>
            <w:left w:val="none" w:sz="0" w:space="0" w:color="auto"/>
            <w:bottom w:val="none" w:sz="0" w:space="0" w:color="auto"/>
            <w:right w:val="none" w:sz="0" w:space="0" w:color="auto"/>
          </w:divBdr>
        </w:div>
        <w:div w:id="1958176385">
          <w:marLeft w:val="0"/>
          <w:marRight w:val="0"/>
          <w:marTop w:val="0"/>
          <w:marBottom w:val="0"/>
          <w:divBdr>
            <w:top w:val="none" w:sz="0" w:space="0" w:color="auto"/>
            <w:left w:val="none" w:sz="0" w:space="0" w:color="auto"/>
            <w:bottom w:val="none" w:sz="0" w:space="0" w:color="auto"/>
            <w:right w:val="none" w:sz="0" w:space="0" w:color="auto"/>
          </w:divBdr>
        </w:div>
        <w:div w:id="1961185715">
          <w:marLeft w:val="0"/>
          <w:marRight w:val="0"/>
          <w:marTop w:val="0"/>
          <w:marBottom w:val="0"/>
          <w:divBdr>
            <w:top w:val="none" w:sz="0" w:space="0" w:color="auto"/>
            <w:left w:val="none" w:sz="0" w:space="0" w:color="auto"/>
            <w:bottom w:val="none" w:sz="0" w:space="0" w:color="auto"/>
            <w:right w:val="none" w:sz="0" w:space="0" w:color="auto"/>
          </w:divBdr>
        </w:div>
        <w:div w:id="1970629780">
          <w:marLeft w:val="0"/>
          <w:marRight w:val="0"/>
          <w:marTop w:val="0"/>
          <w:marBottom w:val="0"/>
          <w:divBdr>
            <w:top w:val="none" w:sz="0" w:space="0" w:color="auto"/>
            <w:left w:val="none" w:sz="0" w:space="0" w:color="auto"/>
            <w:bottom w:val="none" w:sz="0" w:space="0" w:color="auto"/>
            <w:right w:val="none" w:sz="0" w:space="0" w:color="auto"/>
          </w:divBdr>
        </w:div>
        <w:div w:id="1978291574">
          <w:marLeft w:val="0"/>
          <w:marRight w:val="0"/>
          <w:marTop w:val="0"/>
          <w:marBottom w:val="0"/>
          <w:divBdr>
            <w:top w:val="none" w:sz="0" w:space="0" w:color="auto"/>
            <w:left w:val="none" w:sz="0" w:space="0" w:color="auto"/>
            <w:bottom w:val="none" w:sz="0" w:space="0" w:color="auto"/>
            <w:right w:val="none" w:sz="0" w:space="0" w:color="auto"/>
          </w:divBdr>
        </w:div>
        <w:div w:id="2003266980">
          <w:marLeft w:val="0"/>
          <w:marRight w:val="0"/>
          <w:marTop w:val="0"/>
          <w:marBottom w:val="0"/>
          <w:divBdr>
            <w:top w:val="none" w:sz="0" w:space="0" w:color="auto"/>
            <w:left w:val="none" w:sz="0" w:space="0" w:color="auto"/>
            <w:bottom w:val="none" w:sz="0" w:space="0" w:color="auto"/>
            <w:right w:val="none" w:sz="0" w:space="0" w:color="auto"/>
          </w:divBdr>
        </w:div>
        <w:div w:id="2049794517">
          <w:marLeft w:val="0"/>
          <w:marRight w:val="0"/>
          <w:marTop w:val="0"/>
          <w:marBottom w:val="0"/>
          <w:divBdr>
            <w:top w:val="none" w:sz="0" w:space="0" w:color="auto"/>
            <w:left w:val="none" w:sz="0" w:space="0" w:color="auto"/>
            <w:bottom w:val="none" w:sz="0" w:space="0" w:color="auto"/>
            <w:right w:val="none" w:sz="0" w:space="0" w:color="auto"/>
          </w:divBdr>
        </w:div>
        <w:div w:id="2076969144">
          <w:marLeft w:val="0"/>
          <w:marRight w:val="0"/>
          <w:marTop w:val="0"/>
          <w:marBottom w:val="0"/>
          <w:divBdr>
            <w:top w:val="none" w:sz="0" w:space="0" w:color="auto"/>
            <w:left w:val="none" w:sz="0" w:space="0" w:color="auto"/>
            <w:bottom w:val="none" w:sz="0" w:space="0" w:color="auto"/>
            <w:right w:val="none" w:sz="0" w:space="0" w:color="auto"/>
          </w:divBdr>
        </w:div>
        <w:div w:id="2096049065">
          <w:marLeft w:val="0"/>
          <w:marRight w:val="0"/>
          <w:marTop w:val="0"/>
          <w:marBottom w:val="0"/>
          <w:divBdr>
            <w:top w:val="none" w:sz="0" w:space="0" w:color="auto"/>
            <w:left w:val="none" w:sz="0" w:space="0" w:color="auto"/>
            <w:bottom w:val="none" w:sz="0" w:space="0" w:color="auto"/>
            <w:right w:val="none" w:sz="0" w:space="0" w:color="auto"/>
          </w:divBdr>
        </w:div>
        <w:div w:id="2107459093">
          <w:marLeft w:val="0"/>
          <w:marRight w:val="0"/>
          <w:marTop w:val="0"/>
          <w:marBottom w:val="0"/>
          <w:divBdr>
            <w:top w:val="none" w:sz="0" w:space="0" w:color="auto"/>
            <w:left w:val="none" w:sz="0" w:space="0" w:color="auto"/>
            <w:bottom w:val="none" w:sz="0" w:space="0" w:color="auto"/>
            <w:right w:val="none" w:sz="0" w:space="0" w:color="auto"/>
          </w:divBdr>
        </w:div>
        <w:div w:id="2135171012">
          <w:marLeft w:val="0"/>
          <w:marRight w:val="0"/>
          <w:marTop w:val="0"/>
          <w:marBottom w:val="0"/>
          <w:divBdr>
            <w:top w:val="none" w:sz="0" w:space="0" w:color="auto"/>
            <w:left w:val="none" w:sz="0" w:space="0" w:color="auto"/>
            <w:bottom w:val="none" w:sz="0" w:space="0" w:color="auto"/>
            <w:right w:val="none" w:sz="0" w:space="0" w:color="auto"/>
          </w:divBdr>
        </w:div>
        <w:div w:id="2142725513">
          <w:marLeft w:val="0"/>
          <w:marRight w:val="0"/>
          <w:marTop w:val="0"/>
          <w:marBottom w:val="0"/>
          <w:divBdr>
            <w:top w:val="none" w:sz="0" w:space="0" w:color="auto"/>
            <w:left w:val="none" w:sz="0" w:space="0" w:color="auto"/>
            <w:bottom w:val="none" w:sz="0" w:space="0" w:color="auto"/>
            <w:right w:val="none" w:sz="0" w:space="0" w:color="auto"/>
          </w:divBdr>
        </w:div>
      </w:divsChild>
    </w:div>
    <w:div w:id="549458718">
      <w:bodyDiv w:val="1"/>
      <w:marLeft w:val="0"/>
      <w:marRight w:val="0"/>
      <w:marTop w:val="0"/>
      <w:marBottom w:val="0"/>
      <w:divBdr>
        <w:top w:val="none" w:sz="0" w:space="0" w:color="auto"/>
        <w:left w:val="none" w:sz="0" w:space="0" w:color="auto"/>
        <w:bottom w:val="none" w:sz="0" w:space="0" w:color="auto"/>
        <w:right w:val="none" w:sz="0" w:space="0" w:color="auto"/>
      </w:divBdr>
      <w:divsChild>
        <w:div w:id="392237169">
          <w:marLeft w:val="0"/>
          <w:marRight w:val="0"/>
          <w:marTop w:val="0"/>
          <w:marBottom w:val="0"/>
          <w:divBdr>
            <w:top w:val="none" w:sz="0" w:space="0" w:color="auto"/>
            <w:left w:val="none" w:sz="0" w:space="0" w:color="auto"/>
            <w:bottom w:val="none" w:sz="0" w:space="0" w:color="auto"/>
            <w:right w:val="none" w:sz="0" w:space="0" w:color="auto"/>
          </w:divBdr>
        </w:div>
        <w:div w:id="567618404">
          <w:marLeft w:val="0"/>
          <w:marRight w:val="0"/>
          <w:marTop w:val="0"/>
          <w:marBottom w:val="0"/>
          <w:divBdr>
            <w:top w:val="none" w:sz="0" w:space="0" w:color="auto"/>
            <w:left w:val="none" w:sz="0" w:space="0" w:color="auto"/>
            <w:bottom w:val="none" w:sz="0" w:space="0" w:color="auto"/>
            <w:right w:val="none" w:sz="0" w:space="0" w:color="auto"/>
          </w:divBdr>
        </w:div>
        <w:div w:id="657459170">
          <w:marLeft w:val="0"/>
          <w:marRight w:val="0"/>
          <w:marTop w:val="0"/>
          <w:marBottom w:val="0"/>
          <w:divBdr>
            <w:top w:val="none" w:sz="0" w:space="0" w:color="auto"/>
            <w:left w:val="none" w:sz="0" w:space="0" w:color="auto"/>
            <w:bottom w:val="none" w:sz="0" w:space="0" w:color="auto"/>
            <w:right w:val="none" w:sz="0" w:space="0" w:color="auto"/>
          </w:divBdr>
        </w:div>
        <w:div w:id="670332420">
          <w:marLeft w:val="0"/>
          <w:marRight w:val="0"/>
          <w:marTop w:val="0"/>
          <w:marBottom w:val="0"/>
          <w:divBdr>
            <w:top w:val="none" w:sz="0" w:space="0" w:color="auto"/>
            <w:left w:val="none" w:sz="0" w:space="0" w:color="auto"/>
            <w:bottom w:val="none" w:sz="0" w:space="0" w:color="auto"/>
            <w:right w:val="none" w:sz="0" w:space="0" w:color="auto"/>
          </w:divBdr>
        </w:div>
        <w:div w:id="918488345">
          <w:marLeft w:val="0"/>
          <w:marRight w:val="0"/>
          <w:marTop w:val="0"/>
          <w:marBottom w:val="0"/>
          <w:divBdr>
            <w:top w:val="none" w:sz="0" w:space="0" w:color="auto"/>
            <w:left w:val="none" w:sz="0" w:space="0" w:color="auto"/>
            <w:bottom w:val="none" w:sz="0" w:space="0" w:color="auto"/>
            <w:right w:val="none" w:sz="0" w:space="0" w:color="auto"/>
          </w:divBdr>
        </w:div>
        <w:div w:id="1559516816">
          <w:marLeft w:val="0"/>
          <w:marRight w:val="0"/>
          <w:marTop w:val="0"/>
          <w:marBottom w:val="0"/>
          <w:divBdr>
            <w:top w:val="none" w:sz="0" w:space="0" w:color="auto"/>
            <w:left w:val="none" w:sz="0" w:space="0" w:color="auto"/>
            <w:bottom w:val="none" w:sz="0" w:space="0" w:color="auto"/>
            <w:right w:val="none" w:sz="0" w:space="0" w:color="auto"/>
          </w:divBdr>
        </w:div>
        <w:div w:id="1676034230">
          <w:marLeft w:val="0"/>
          <w:marRight w:val="0"/>
          <w:marTop w:val="0"/>
          <w:marBottom w:val="0"/>
          <w:divBdr>
            <w:top w:val="none" w:sz="0" w:space="0" w:color="auto"/>
            <w:left w:val="none" w:sz="0" w:space="0" w:color="auto"/>
            <w:bottom w:val="none" w:sz="0" w:space="0" w:color="auto"/>
            <w:right w:val="none" w:sz="0" w:space="0" w:color="auto"/>
          </w:divBdr>
        </w:div>
        <w:div w:id="2113164989">
          <w:marLeft w:val="0"/>
          <w:marRight w:val="0"/>
          <w:marTop w:val="0"/>
          <w:marBottom w:val="0"/>
          <w:divBdr>
            <w:top w:val="none" w:sz="0" w:space="0" w:color="auto"/>
            <w:left w:val="none" w:sz="0" w:space="0" w:color="auto"/>
            <w:bottom w:val="none" w:sz="0" w:space="0" w:color="auto"/>
            <w:right w:val="none" w:sz="0" w:space="0" w:color="auto"/>
          </w:divBdr>
        </w:div>
      </w:divsChild>
    </w:div>
    <w:div w:id="728191893">
      <w:bodyDiv w:val="1"/>
      <w:marLeft w:val="0"/>
      <w:marRight w:val="0"/>
      <w:marTop w:val="0"/>
      <w:marBottom w:val="0"/>
      <w:divBdr>
        <w:top w:val="none" w:sz="0" w:space="0" w:color="auto"/>
        <w:left w:val="none" w:sz="0" w:space="0" w:color="auto"/>
        <w:bottom w:val="none" w:sz="0" w:space="0" w:color="auto"/>
        <w:right w:val="none" w:sz="0" w:space="0" w:color="auto"/>
      </w:divBdr>
    </w:div>
    <w:div w:id="731270134">
      <w:bodyDiv w:val="1"/>
      <w:marLeft w:val="0"/>
      <w:marRight w:val="0"/>
      <w:marTop w:val="0"/>
      <w:marBottom w:val="0"/>
      <w:divBdr>
        <w:top w:val="none" w:sz="0" w:space="0" w:color="auto"/>
        <w:left w:val="none" w:sz="0" w:space="0" w:color="auto"/>
        <w:bottom w:val="none" w:sz="0" w:space="0" w:color="auto"/>
        <w:right w:val="none" w:sz="0" w:space="0" w:color="auto"/>
      </w:divBdr>
      <w:divsChild>
        <w:div w:id="17434065">
          <w:marLeft w:val="0"/>
          <w:marRight w:val="0"/>
          <w:marTop w:val="0"/>
          <w:marBottom w:val="0"/>
          <w:divBdr>
            <w:top w:val="none" w:sz="0" w:space="0" w:color="auto"/>
            <w:left w:val="none" w:sz="0" w:space="0" w:color="auto"/>
            <w:bottom w:val="none" w:sz="0" w:space="0" w:color="auto"/>
            <w:right w:val="none" w:sz="0" w:space="0" w:color="auto"/>
          </w:divBdr>
        </w:div>
        <w:div w:id="20790462">
          <w:marLeft w:val="0"/>
          <w:marRight w:val="0"/>
          <w:marTop w:val="0"/>
          <w:marBottom w:val="0"/>
          <w:divBdr>
            <w:top w:val="none" w:sz="0" w:space="0" w:color="auto"/>
            <w:left w:val="none" w:sz="0" w:space="0" w:color="auto"/>
            <w:bottom w:val="none" w:sz="0" w:space="0" w:color="auto"/>
            <w:right w:val="none" w:sz="0" w:space="0" w:color="auto"/>
          </w:divBdr>
        </w:div>
        <w:div w:id="205875047">
          <w:marLeft w:val="0"/>
          <w:marRight w:val="0"/>
          <w:marTop w:val="0"/>
          <w:marBottom w:val="0"/>
          <w:divBdr>
            <w:top w:val="none" w:sz="0" w:space="0" w:color="auto"/>
            <w:left w:val="none" w:sz="0" w:space="0" w:color="auto"/>
            <w:bottom w:val="none" w:sz="0" w:space="0" w:color="auto"/>
            <w:right w:val="none" w:sz="0" w:space="0" w:color="auto"/>
          </w:divBdr>
        </w:div>
        <w:div w:id="208884374">
          <w:marLeft w:val="0"/>
          <w:marRight w:val="0"/>
          <w:marTop w:val="0"/>
          <w:marBottom w:val="0"/>
          <w:divBdr>
            <w:top w:val="none" w:sz="0" w:space="0" w:color="auto"/>
            <w:left w:val="none" w:sz="0" w:space="0" w:color="auto"/>
            <w:bottom w:val="none" w:sz="0" w:space="0" w:color="auto"/>
            <w:right w:val="none" w:sz="0" w:space="0" w:color="auto"/>
          </w:divBdr>
        </w:div>
        <w:div w:id="238441095">
          <w:marLeft w:val="0"/>
          <w:marRight w:val="0"/>
          <w:marTop w:val="0"/>
          <w:marBottom w:val="0"/>
          <w:divBdr>
            <w:top w:val="none" w:sz="0" w:space="0" w:color="auto"/>
            <w:left w:val="none" w:sz="0" w:space="0" w:color="auto"/>
            <w:bottom w:val="none" w:sz="0" w:space="0" w:color="auto"/>
            <w:right w:val="none" w:sz="0" w:space="0" w:color="auto"/>
          </w:divBdr>
        </w:div>
        <w:div w:id="266279863">
          <w:marLeft w:val="0"/>
          <w:marRight w:val="0"/>
          <w:marTop w:val="0"/>
          <w:marBottom w:val="0"/>
          <w:divBdr>
            <w:top w:val="none" w:sz="0" w:space="0" w:color="auto"/>
            <w:left w:val="none" w:sz="0" w:space="0" w:color="auto"/>
            <w:bottom w:val="none" w:sz="0" w:space="0" w:color="auto"/>
            <w:right w:val="none" w:sz="0" w:space="0" w:color="auto"/>
          </w:divBdr>
        </w:div>
        <w:div w:id="357699728">
          <w:marLeft w:val="0"/>
          <w:marRight w:val="0"/>
          <w:marTop w:val="0"/>
          <w:marBottom w:val="0"/>
          <w:divBdr>
            <w:top w:val="none" w:sz="0" w:space="0" w:color="auto"/>
            <w:left w:val="none" w:sz="0" w:space="0" w:color="auto"/>
            <w:bottom w:val="none" w:sz="0" w:space="0" w:color="auto"/>
            <w:right w:val="none" w:sz="0" w:space="0" w:color="auto"/>
          </w:divBdr>
        </w:div>
        <w:div w:id="358169658">
          <w:marLeft w:val="0"/>
          <w:marRight w:val="0"/>
          <w:marTop w:val="0"/>
          <w:marBottom w:val="0"/>
          <w:divBdr>
            <w:top w:val="none" w:sz="0" w:space="0" w:color="auto"/>
            <w:left w:val="none" w:sz="0" w:space="0" w:color="auto"/>
            <w:bottom w:val="none" w:sz="0" w:space="0" w:color="auto"/>
            <w:right w:val="none" w:sz="0" w:space="0" w:color="auto"/>
          </w:divBdr>
        </w:div>
        <w:div w:id="434637002">
          <w:marLeft w:val="0"/>
          <w:marRight w:val="0"/>
          <w:marTop w:val="0"/>
          <w:marBottom w:val="0"/>
          <w:divBdr>
            <w:top w:val="none" w:sz="0" w:space="0" w:color="auto"/>
            <w:left w:val="none" w:sz="0" w:space="0" w:color="auto"/>
            <w:bottom w:val="none" w:sz="0" w:space="0" w:color="auto"/>
            <w:right w:val="none" w:sz="0" w:space="0" w:color="auto"/>
          </w:divBdr>
        </w:div>
        <w:div w:id="453670032">
          <w:marLeft w:val="0"/>
          <w:marRight w:val="0"/>
          <w:marTop w:val="0"/>
          <w:marBottom w:val="0"/>
          <w:divBdr>
            <w:top w:val="none" w:sz="0" w:space="0" w:color="auto"/>
            <w:left w:val="none" w:sz="0" w:space="0" w:color="auto"/>
            <w:bottom w:val="none" w:sz="0" w:space="0" w:color="auto"/>
            <w:right w:val="none" w:sz="0" w:space="0" w:color="auto"/>
          </w:divBdr>
        </w:div>
        <w:div w:id="456728680">
          <w:marLeft w:val="0"/>
          <w:marRight w:val="0"/>
          <w:marTop w:val="0"/>
          <w:marBottom w:val="0"/>
          <w:divBdr>
            <w:top w:val="none" w:sz="0" w:space="0" w:color="auto"/>
            <w:left w:val="none" w:sz="0" w:space="0" w:color="auto"/>
            <w:bottom w:val="none" w:sz="0" w:space="0" w:color="auto"/>
            <w:right w:val="none" w:sz="0" w:space="0" w:color="auto"/>
          </w:divBdr>
        </w:div>
        <w:div w:id="463736645">
          <w:marLeft w:val="0"/>
          <w:marRight w:val="0"/>
          <w:marTop w:val="0"/>
          <w:marBottom w:val="0"/>
          <w:divBdr>
            <w:top w:val="none" w:sz="0" w:space="0" w:color="auto"/>
            <w:left w:val="none" w:sz="0" w:space="0" w:color="auto"/>
            <w:bottom w:val="none" w:sz="0" w:space="0" w:color="auto"/>
            <w:right w:val="none" w:sz="0" w:space="0" w:color="auto"/>
          </w:divBdr>
        </w:div>
        <w:div w:id="469252153">
          <w:marLeft w:val="0"/>
          <w:marRight w:val="0"/>
          <w:marTop w:val="0"/>
          <w:marBottom w:val="0"/>
          <w:divBdr>
            <w:top w:val="none" w:sz="0" w:space="0" w:color="auto"/>
            <w:left w:val="none" w:sz="0" w:space="0" w:color="auto"/>
            <w:bottom w:val="none" w:sz="0" w:space="0" w:color="auto"/>
            <w:right w:val="none" w:sz="0" w:space="0" w:color="auto"/>
          </w:divBdr>
        </w:div>
        <w:div w:id="470292636">
          <w:marLeft w:val="0"/>
          <w:marRight w:val="0"/>
          <w:marTop w:val="0"/>
          <w:marBottom w:val="0"/>
          <w:divBdr>
            <w:top w:val="none" w:sz="0" w:space="0" w:color="auto"/>
            <w:left w:val="none" w:sz="0" w:space="0" w:color="auto"/>
            <w:bottom w:val="none" w:sz="0" w:space="0" w:color="auto"/>
            <w:right w:val="none" w:sz="0" w:space="0" w:color="auto"/>
          </w:divBdr>
        </w:div>
        <w:div w:id="496918768">
          <w:marLeft w:val="0"/>
          <w:marRight w:val="0"/>
          <w:marTop w:val="0"/>
          <w:marBottom w:val="0"/>
          <w:divBdr>
            <w:top w:val="none" w:sz="0" w:space="0" w:color="auto"/>
            <w:left w:val="none" w:sz="0" w:space="0" w:color="auto"/>
            <w:bottom w:val="none" w:sz="0" w:space="0" w:color="auto"/>
            <w:right w:val="none" w:sz="0" w:space="0" w:color="auto"/>
          </w:divBdr>
        </w:div>
        <w:div w:id="500242736">
          <w:marLeft w:val="0"/>
          <w:marRight w:val="0"/>
          <w:marTop w:val="0"/>
          <w:marBottom w:val="0"/>
          <w:divBdr>
            <w:top w:val="none" w:sz="0" w:space="0" w:color="auto"/>
            <w:left w:val="none" w:sz="0" w:space="0" w:color="auto"/>
            <w:bottom w:val="none" w:sz="0" w:space="0" w:color="auto"/>
            <w:right w:val="none" w:sz="0" w:space="0" w:color="auto"/>
          </w:divBdr>
        </w:div>
        <w:div w:id="500782283">
          <w:marLeft w:val="0"/>
          <w:marRight w:val="0"/>
          <w:marTop w:val="0"/>
          <w:marBottom w:val="0"/>
          <w:divBdr>
            <w:top w:val="none" w:sz="0" w:space="0" w:color="auto"/>
            <w:left w:val="none" w:sz="0" w:space="0" w:color="auto"/>
            <w:bottom w:val="none" w:sz="0" w:space="0" w:color="auto"/>
            <w:right w:val="none" w:sz="0" w:space="0" w:color="auto"/>
          </w:divBdr>
        </w:div>
        <w:div w:id="515853318">
          <w:marLeft w:val="0"/>
          <w:marRight w:val="0"/>
          <w:marTop w:val="0"/>
          <w:marBottom w:val="0"/>
          <w:divBdr>
            <w:top w:val="none" w:sz="0" w:space="0" w:color="auto"/>
            <w:left w:val="none" w:sz="0" w:space="0" w:color="auto"/>
            <w:bottom w:val="none" w:sz="0" w:space="0" w:color="auto"/>
            <w:right w:val="none" w:sz="0" w:space="0" w:color="auto"/>
          </w:divBdr>
        </w:div>
        <w:div w:id="530732072">
          <w:marLeft w:val="0"/>
          <w:marRight w:val="0"/>
          <w:marTop w:val="0"/>
          <w:marBottom w:val="0"/>
          <w:divBdr>
            <w:top w:val="none" w:sz="0" w:space="0" w:color="auto"/>
            <w:left w:val="none" w:sz="0" w:space="0" w:color="auto"/>
            <w:bottom w:val="none" w:sz="0" w:space="0" w:color="auto"/>
            <w:right w:val="none" w:sz="0" w:space="0" w:color="auto"/>
          </w:divBdr>
        </w:div>
        <w:div w:id="567805156">
          <w:marLeft w:val="0"/>
          <w:marRight w:val="0"/>
          <w:marTop w:val="0"/>
          <w:marBottom w:val="0"/>
          <w:divBdr>
            <w:top w:val="none" w:sz="0" w:space="0" w:color="auto"/>
            <w:left w:val="none" w:sz="0" w:space="0" w:color="auto"/>
            <w:bottom w:val="none" w:sz="0" w:space="0" w:color="auto"/>
            <w:right w:val="none" w:sz="0" w:space="0" w:color="auto"/>
          </w:divBdr>
        </w:div>
        <w:div w:id="590164129">
          <w:marLeft w:val="0"/>
          <w:marRight w:val="0"/>
          <w:marTop w:val="0"/>
          <w:marBottom w:val="0"/>
          <w:divBdr>
            <w:top w:val="none" w:sz="0" w:space="0" w:color="auto"/>
            <w:left w:val="none" w:sz="0" w:space="0" w:color="auto"/>
            <w:bottom w:val="none" w:sz="0" w:space="0" w:color="auto"/>
            <w:right w:val="none" w:sz="0" w:space="0" w:color="auto"/>
          </w:divBdr>
        </w:div>
        <w:div w:id="592470204">
          <w:marLeft w:val="0"/>
          <w:marRight w:val="0"/>
          <w:marTop w:val="0"/>
          <w:marBottom w:val="0"/>
          <w:divBdr>
            <w:top w:val="none" w:sz="0" w:space="0" w:color="auto"/>
            <w:left w:val="none" w:sz="0" w:space="0" w:color="auto"/>
            <w:bottom w:val="none" w:sz="0" w:space="0" w:color="auto"/>
            <w:right w:val="none" w:sz="0" w:space="0" w:color="auto"/>
          </w:divBdr>
        </w:div>
        <w:div w:id="627779344">
          <w:marLeft w:val="0"/>
          <w:marRight w:val="0"/>
          <w:marTop w:val="0"/>
          <w:marBottom w:val="0"/>
          <w:divBdr>
            <w:top w:val="none" w:sz="0" w:space="0" w:color="auto"/>
            <w:left w:val="none" w:sz="0" w:space="0" w:color="auto"/>
            <w:bottom w:val="none" w:sz="0" w:space="0" w:color="auto"/>
            <w:right w:val="none" w:sz="0" w:space="0" w:color="auto"/>
          </w:divBdr>
        </w:div>
        <w:div w:id="690760400">
          <w:marLeft w:val="0"/>
          <w:marRight w:val="0"/>
          <w:marTop w:val="0"/>
          <w:marBottom w:val="0"/>
          <w:divBdr>
            <w:top w:val="none" w:sz="0" w:space="0" w:color="auto"/>
            <w:left w:val="none" w:sz="0" w:space="0" w:color="auto"/>
            <w:bottom w:val="none" w:sz="0" w:space="0" w:color="auto"/>
            <w:right w:val="none" w:sz="0" w:space="0" w:color="auto"/>
          </w:divBdr>
        </w:div>
        <w:div w:id="693069881">
          <w:marLeft w:val="0"/>
          <w:marRight w:val="0"/>
          <w:marTop w:val="0"/>
          <w:marBottom w:val="0"/>
          <w:divBdr>
            <w:top w:val="none" w:sz="0" w:space="0" w:color="auto"/>
            <w:left w:val="none" w:sz="0" w:space="0" w:color="auto"/>
            <w:bottom w:val="none" w:sz="0" w:space="0" w:color="auto"/>
            <w:right w:val="none" w:sz="0" w:space="0" w:color="auto"/>
          </w:divBdr>
        </w:div>
        <w:div w:id="718482270">
          <w:marLeft w:val="0"/>
          <w:marRight w:val="0"/>
          <w:marTop w:val="0"/>
          <w:marBottom w:val="0"/>
          <w:divBdr>
            <w:top w:val="none" w:sz="0" w:space="0" w:color="auto"/>
            <w:left w:val="none" w:sz="0" w:space="0" w:color="auto"/>
            <w:bottom w:val="none" w:sz="0" w:space="0" w:color="auto"/>
            <w:right w:val="none" w:sz="0" w:space="0" w:color="auto"/>
          </w:divBdr>
        </w:div>
        <w:div w:id="737092702">
          <w:marLeft w:val="0"/>
          <w:marRight w:val="0"/>
          <w:marTop w:val="0"/>
          <w:marBottom w:val="0"/>
          <w:divBdr>
            <w:top w:val="none" w:sz="0" w:space="0" w:color="auto"/>
            <w:left w:val="none" w:sz="0" w:space="0" w:color="auto"/>
            <w:bottom w:val="none" w:sz="0" w:space="0" w:color="auto"/>
            <w:right w:val="none" w:sz="0" w:space="0" w:color="auto"/>
          </w:divBdr>
        </w:div>
        <w:div w:id="744717172">
          <w:marLeft w:val="0"/>
          <w:marRight w:val="0"/>
          <w:marTop w:val="0"/>
          <w:marBottom w:val="0"/>
          <w:divBdr>
            <w:top w:val="none" w:sz="0" w:space="0" w:color="auto"/>
            <w:left w:val="none" w:sz="0" w:space="0" w:color="auto"/>
            <w:bottom w:val="none" w:sz="0" w:space="0" w:color="auto"/>
            <w:right w:val="none" w:sz="0" w:space="0" w:color="auto"/>
          </w:divBdr>
        </w:div>
        <w:div w:id="750466451">
          <w:marLeft w:val="0"/>
          <w:marRight w:val="0"/>
          <w:marTop w:val="0"/>
          <w:marBottom w:val="0"/>
          <w:divBdr>
            <w:top w:val="none" w:sz="0" w:space="0" w:color="auto"/>
            <w:left w:val="none" w:sz="0" w:space="0" w:color="auto"/>
            <w:bottom w:val="none" w:sz="0" w:space="0" w:color="auto"/>
            <w:right w:val="none" w:sz="0" w:space="0" w:color="auto"/>
          </w:divBdr>
        </w:div>
        <w:div w:id="794518604">
          <w:marLeft w:val="0"/>
          <w:marRight w:val="0"/>
          <w:marTop w:val="0"/>
          <w:marBottom w:val="0"/>
          <w:divBdr>
            <w:top w:val="none" w:sz="0" w:space="0" w:color="auto"/>
            <w:left w:val="none" w:sz="0" w:space="0" w:color="auto"/>
            <w:bottom w:val="none" w:sz="0" w:space="0" w:color="auto"/>
            <w:right w:val="none" w:sz="0" w:space="0" w:color="auto"/>
          </w:divBdr>
        </w:div>
        <w:div w:id="807433049">
          <w:marLeft w:val="0"/>
          <w:marRight w:val="0"/>
          <w:marTop w:val="0"/>
          <w:marBottom w:val="0"/>
          <w:divBdr>
            <w:top w:val="none" w:sz="0" w:space="0" w:color="auto"/>
            <w:left w:val="none" w:sz="0" w:space="0" w:color="auto"/>
            <w:bottom w:val="none" w:sz="0" w:space="0" w:color="auto"/>
            <w:right w:val="none" w:sz="0" w:space="0" w:color="auto"/>
          </w:divBdr>
        </w:div>
        <w:div w:id="825048238">
          <w:marLeft w:val="0"/>
          <w:marRight w:val="0"/>
          <w:marTop w:val="0"/>
          <w:marBottom w:val="0"/>
          <w:divBdr>
            <w:top w:val="none" w:sz="0" w:space="0" w:color="auto"/>
            <w:left w:val="none" w:sz="0" w:space="0" w:color="auto"/>
            <w:bottom w:val="none" w:sz="0" w:space="0" w:color="auto"/>
            <w:right w:val="none" w:sz="0" w:space="0" w:color="auto"/>
          </w:divBdr>
        </w:div>
        <w:div w:id="858010148">
          <w:marLeft w:val="0"/>
          <w:marRight w:val="0"/>
          <w:marTop w:val="0"/>
          <w:marBottom w:val="0"/>
          <w:divBdr>
            <w:top w:val="none" w:sz="0" w:space="0" w:color="auto"/>
            <w:left w:val="none" w:sz="0" w:space="0" w:color="auto"/>
            <w:bottom w:val="none" w:sz="0" w:space="0" w:color="auto"/>
            <w:right w:val="none" w:sz="0" w:space="0" w:color="auto"/>
          </w:divBdr>
        </w:div>
        <w:div w:id="887179744">
          <w:marLeft w:val="0"/>
          <w:marRight w:val="0"/>
          <w:marTop w:val="0"/>
          <w:marBottom w:val="0"/>
          <w:divBdr>
            <w:top w:val="none" w:sz="0" w:space="0" w:color="auto"/>
            <w:left w:val="none" w:sz="0" w:space="0" w:color="auto"/>
            <w:bottom w:val="none" w:sz="0" w:space="0" w:color="auto"/>
            <w:right w:val="none" w:sz="0" w:space="0" w:color="auto"/>
          </w:divBdr>
        </w:div>
        <w:div w:id="893854804">
          <w:marLeft w:val="0"/>
          <w:marRight w:val="0"/>
          <w:marTop w:val="0"/>
          <w:marBottom w:val="0"/>
          <w:divBdr>
            <w:top w:val="none" w:sz="0" w:space="0" w:color="auto"/>
            <w:left w:val="none" w:sz="0" w:space="0" w:color="auto"/>
            <w:bottom w:val="none" w:sz="0" w:space="0" w:color="auto"/>
            <w:right w:val="none" w:sz="0" w:space="0" w:color="auto"/>
          </w:divBdr>
        </w:div>
        <w:div w:id="925383190">
          <w:marLeft w:val="0"/>
          <w:marRight w:val="0"/>
          <w:marTop w:val="0"/>
          <w:marBottom w:val="0"/>
          <w:divBdr>
            <w:top w:val="none" w:sz="0" w:space="0" w:color="auto"/>
            <w:left w:val="none" w:sz="0" w:space="0" w:color="auto"/>
            <w:bottom w:val="none" w:sz="0" w:space="0" w:color="auto"/>
            <w:right w:val="none" w:sz="0" w:space="0" w:color="auto"/>
          </w:divBdr>
        </w:div>
        <w:div w:id="932201114">
          <w:marLeft w:val="0"/>
          <w:marRight w:val="0"/>
          <w:marTop w:val="0"/>
          <w:marBottom w:val="0"/>
          <w:divBdr>
            <w:top w:val="none" w:sz="0" w:space="0" w:color="auto"/>
            <w:left w:val="none" w:sz="0" w:space="0" w:color="auto"/>
            <w:bottom w:val="none" w:sz="0" w:space="0" w:color="auto"/>
            <w:right w:val="none" w:sz="0" w:space="0" w:color="auto"/>
          </w:divBdr>
        </w:div>
        <w:div w:id="959382934">
          <w:marLeft w:val="0"/>
          <w:marRight w:val="0"/>
          <w:marTop w:val="0"/>
          <w:marBottom w:val="0"/>
          <w:divBdr>
            <w:top w:val="none" w:sz="0" w:space="0" w:color="auto"/>
            <w:left w:val="none" w:sz="0" w:space="0" w:color="auto"/>
            <w:bottom w:val="none" w:sz="0" w:space="0" w:color="auto"/>
            <w:right w:val="none" w:sz="0" w:space="0" w:color="auto"/>
          </w:divBdr>
        </w:div>
        <w:div w:id="979072190">
          <w:marLeft w:val="0"/>
          <w:marRight w:val="0"/>
          <w:marTop w:val="0"/>
          <w:marBottom w:val="0"/>
          <w:divBdr>
            <w:top w:val="none" w:sz="0" w:space="0" w:color="auto"/>
            <w:left w:val="none" w:sz="0" w:space="0" w:color="auto"/>
            <w:bottom w:val="none" w:sz="0" w:space="0" w:color="auto"/>
            <w:right w:val="none" w:sz="0" w:space="0" w:color="auto"/>
          </w:divBdr>
        </w:div>
        <w:div w:id="1089498119">
          <w:marLeft w:val="0"/>
          <w:marRight w:val="0"/>
          <w:marTop w:val="0"/>
          <w:marBottom w:val="0"/>
          <w:divBdr>
            <w:top w:val="none" w:sz="0" w:space="0" w:color="auto"/>
            <w:left w:val="none" w:sz="0" w:space="0" w:color="auto"/>
            <w:bottom w:val="none" w:sz="0" w:space="0" w:color="auto"/>
            <w:right w:val="none" w:sz="0" w:space="0" w:color="auto"/>
          </w:divBdr>
        </w:div>
        <w:div w:id="1145663794">
          <w:marLeft w:val="0"/>
          <w:marRight w:val="0"/>
          <w:marTop w:val="0"/>
          <w:marBottom w:val="0"/>
          <w:divBdr>
            <w:top w:val="none" w:sz="0" w:space="0" w:color="auto"/>
            <w:left w:val="none" w:sz="0" w:space="0" w:color="auto"/>
            <w:bottom w:val="none" w:sz="0" w:space="0" w:color="auto"/>
            <w:right w:val="none" w:sz="0" w:space="0" w:color="auto"/>
          </w:divBdr>
        </w:div>
        <w:div w:id="1174760022">
          <w:marLeft w:val="0"/>
          <w:marRight w:val="0"/>
          <w:marTop w:val="0"/>
          <w:marBottom w:val="0"/>
          <w:divBdr>
            <w:top w:val="none" w:sz="0" w:space="0" w:color="auto"/>
            <w:left w:val="none" w:sz="0" w:space="0" w:color="auto"/>
            <w:bottom w:val="none" w:sz="0" w:space="0" w:color="auto"/>
            <w:right w:val="none" w:sz="0" w:space="0" w:color="auto"/>
          </w:divBdr>
        </w:div>
        <w:div w:id="1217817048">
          <w:marLeft w:val="0"/>
          <w:marRight w:val="0"/>
          <w:marTop w:val="0"/>
          <w:marBottom w:val="0"/>
          <w:divBdr>
            <w:top w:val="none" w:sz="0" w:space="0" w:color="auto"/>
            <w:left w:val="none" w:sz="0" w:space="0" w:color="auto"/>
            <w:bottom w:val="none" w:sz="0" w:space="0" w:color="auto"/>
            <w:right w:val="none" w:sz="0" w:space="0" w:color="auto"/>
          </w:divBdr>
        </w:div>
        <w:div w:id="1218201457">
          <w:marLeft w:val="0"/>
          <w:marRight w:val="0"/>
          <w:marTop w:val="0"/>
          <w:marBottom w:val="0"/>
          <w:divBdr>
            <w:top w:val="none" w:sz="0" w:space="0" w:color="auto"/>
            <w:left w:val="none" w:sz="0" w:space="0" w:color="auto"/>
            <w:bottom w:val="none" w:sz="0" w:space="0" w:color="auto"/>
            <w:right w:val="none" w:sz="0" w:space="0" w:color="auto"/>
          </w:divBdr>
        </w:div>
        <w:div w:id="1281763572">
          <w:marLeft w:val="0"/>
          <w:marRight w:val="0"/>
          <w:marTop w:val="0"/>
          <w:marBottom w:val="0"/>
          <w:divBdr>
            <w:top w:val="none" w:sz="0" w:space="0" w:color="auto"/>
            <w:left w:val="none" w:sz="0" w:space="0" w:color="auto"/>
            <w:bottom w:val="none" w:sz="0" w:space="0" w:color="auto"/>
            <w:right w:val="none" w:sz="0" w:space="0" w:color="auto"/>
          </w:divBdr>
        </w:div>
        <w:div w:id="1302659322">
          <w:marLeft w:val="0"/>
          <w:marRight w:val="0"/>
          <w:marTop w:val="0"/>
          <w:marBottom w:val="0"/>
          <w:divBdr>
            <w:top w:val="none" w:sz="0" w:space="0" w:color="auto"/>
            <w:left w:val="none" w:sz="0" w:space="0" w:color="auto"/>
            <w:bottom w:val="none" w:sz="0" w:space="0" w:color="auto"/>
            <w:right w:val="none" w:sz="0" w:space="0" w:color="auto"/>
          </w:divBdr>
        </w:div>
        <w:div w:id="1316225466">
          <w:marLeft w:val="0"/>
          <w:marRight w:val="0"/>
          <w:marTop w:val="0"/>
          <w:marBottom w:val="0"/>
          <w:divBdr>
            <w:top w:val="none" w:sz="0" w:space="0" w:color="auto"/>
            <w:left w:val="none" w:sz="0" w:space="0" w:color="auto"/>
            <w:bottom w:val="none" w:sz="0" w:space="0" w:color="auto"/>
            <w:right w:val="none" w:sz="0" w:space="0" w:color="auto"/>
          </w:divBdr>
        </w:div>
        <w:div w:id="1334868862">
          <w:marLeft w:val="0"/>
          <w:marRight w:val="0"/>
          <w:marTop w:val="0"/>
          <w:marBottom w:val="0"/>
          <w:divBdr>
            <w:top w:val="none" w:sz="0" w:space="0" w:color="auto"/>
            <w:left w:val="none" w:sz="0" w:space="0" w:color="auto"/>
            <w:bottom w:val="none" w:sz="0" w:space="0" w:color="auto"/>
            <w:right w:val="none" w:sz="0" w:space="0" w:color="auto"/>
          </w:divBdr>
        </w:div>
        <w:div w:id="1361399805">
          <w:marLeft w:val="0"/>
          <w:marRight w:val="0"/>
          <w:marTop w:val="0"/>
          <w:marBottom w:val="0"/>
          <w:divBdr>
            <w:top w:val="none" w:sz="0" w:space="0" w:color="auto"/>
            <w:left w:val="none" w:sz="0" w:space="0" w:color="auto"/>
            <w:bottom w:val="none" w:sz="0" w:space="0" w:color="auto"/>
            <w:right w:val="none" w:sz="0" w:space="0" w:color="auto"/>
          </w:divBdr>
        </w:div>
        <w:div w:id="1366180433">
          <w:marLeft w:val="0"/>
          <w:marRight w:val="0"/>
          <w:marTop w:val="0"/>
          <w:marBottom w:val="0"/>
          <w:divBdr>
            <w:top w:val="none" w:sz="0" w:space="0" w:color="auto"/>
            <w:left w:val="none" w:sz="0" w:space="0" w:color="auto"/>
            <w:bottom w:val="none" w:sz="0" w:space="0" w:color="auto"/>
            <w:right w:val="none" w:sz="0" w:space="0" w:color="auto"/>
          </w:divBdr>
        </w:div>
        <w:div w:id="1377588585">
          <w:marLeft w:val="0"/>
          <w:marRight w:val="0"/>
          <w:marTop w:val="0"/>
          <w:marBottom w:val="0"/>
          <w:divBdr>
            <w:top w:val="none" w:sz="0" w:space="0" w:color="auto"/>
            <w:left w:val="none" w:sz="0" w:space="0" w:color="auto"/>
            <w:bottom w:val="none" w:sz="0" w:space="0" w:color="auto"/>
            <w:right w:val="none" w:sz="0" w:space="0" w:color="auto"/>
          </w:divBdr>
        </w:div>
        <w:div w:id="1398938340">
          <w:marLeft w:val="0"/>
          <w:marRight w:val="0"/>
          <w:marTop w:val="0"/>
          <w:marBottom w:val="0"/>
          <w:divBdr>
            <w:top w:val="none" w:sz="0" w:space="0" w:color="auto"/>
            <w:left w:val="none" w:sz="0" w:space="0" w:color="auto"/>
            <w:bottom w:val="none" w:sz="0" w:space="0" w:color="auto"/>
            <w:right w:val="none" w:sz="0" w:space="0" w:color="auto"/>
          </w:divBdr>
        </w:div>
        <w:div w:id="1405686146">
          <w:marLeft w:val="0"/>
          <w:marRight w:val="0"/>
          <w:marTop w:val="0"/>
          <w:marBottom w:val="0"/>
          <w:divBdr>
            <w:top w:val="none" w:sz="0" w:space="0" w:color="auto"/>
            <w:left w:val="none" w:sz="0" w:space="0" w:color="auto"/>
            <w:bottom w:val="none" w:sz="0" w:space="0" w:color="auto"/>
            <w:right w:val="none" w:sz="0" w:space="0" w:color="auto"/>
          </w:divBdr>
        </w:div>
        <w:div w:id="1498153885">
          <w:marLeft w:val="0"/>
          <w:marRight w:val="0"/>
          <w:marTop w:val="0"/>
          <w:marBottom w:val="0"/>
          <w:divBdr>
            <w:top w:val="none" w:sz="0" w:space="0" w:color="auto"/>
            <w:left w:val="none" w:sz="0" w:space="0" w:color="auto"/>
            <w:bottom w:val="none" w:sz="0" w:space="0" w:color="auto"/>
            <w:right w:val="none" w:sz="0" w:space="0" w:color="auto"/>
          </w:divBdr>
        </w:div>
        <w:div w:id="1503004209">
          <w:marLeft w:val="0"/>
          <w:marRight w:val="0"/>
          <w:marTop w:val="0"/>
          <w:marBottom w:val="0"/>
          <w:divBdr>
            <w:top w:val="none" w:sz="0" w:space="0" w:color="auto"/>
            <w:left w:val="none" w:sz="0" w:space="0" w:color="auto"/>
            <w:bottom w:val="none" w:sz="0" w:space="0" w:color="auto"/>
            <w:right w:val="none" w:sz="0" w:space="0" w:color="auto"/>
          </w:divBdr>
        </w:div>
        <w:div w:id="1513376202">
          <w:marLeft w:val="0"/>
          <w:marRight w:val="0"/>
          <w:marTop w:val="0"/>
          <w:marBottom w:val="0"/>
          <w:divBdr>
            <w:top w:val="none" w:sz="0" w:space="0" w:color="auto"/>
            <w:left w:val="none" w:sz="0" w:space="0" w:color="auto"/>
            <w:bottom w:val="none" w:sz="0" w:space="0" w:color="auto"/>
            <w:right w:val="none" w:sz="0" w:space="0" w:color="auto"/>
          </w:divBdr>
        </w:div>
        <w:div w:id="1542673476">
          <w:marLeft w:val="0"/>
          <w:marRight w:val="0"/>
          <w:marTop w:val="0"/>
          <w:marBottom w:val="0"/>
          <w:divBdr>
            <w:top w:val="none" w:sz="0" w:space="0" w:color="auto"/>
            <w:left w:val="none" w:sz="0" w:space="0" w:color="auto"/>
            <w:bottom w:val="none" w:sz="0" w:space="0" w:color="auto"/>
            <w:right w:val="none" w:sz="0" w:space="0" w:color="auto"/>
          </w:divBdr>
        </w:div>
        <w:div w:id="1555509975">
          <w:marLeft w:val="0"/>
          <w:marRight w:val="0"/>
          <w:marTop w:val="0"/>
          <w:marBottom w:val="0"/>
          <w:divBdr>
            <w:top w:val="none" w:sz="0" w:space="0" w:color="auto"/>
            <w:left w:val="none" w:sz="0" w:space="0" w:color="auto"/>
            <w:bottom w:val="none" w:sz="0" w:space="0" w:color="auto"/>
            <w:right w:val="none" w:sz="0" w:space="0" w:color="auto"/>
          </w:divBdr>
        </w:div>
        <w:div w:id="1596673162">
          <w:marLeft w:val="0"/>
          <w:marRight w:val="0"/>
          <w:marTop w:val="0"/>
          <w:marBottom w:val="0"/>
          <w:divBdr>
            <w:top w:val="none" w:sz="0" w:space="0" w:color="auto"/>
            <w:left w:val="none" w:sz="0" w:space="0" w:color="auto"/>
            <w:bottom w:val="none" w:sz="0" w:space="0" w:color="auto"/>
            <w:right w:val="none" w:sz="0" w:space="0" w:color="auto"/>
          </w:divBdr>
        </w:div>
        <w:div w:id="1624920028">
          <w:marLeft w:val="0"/>
          <w:marRight w:val="0"/>
          <w:marTop w:val="0"/>
          <w:marBottom w:val="0"/>
          <w:divBdr>
            <w:top w:val="none" w:sz="0" w:space="0" w:color="auto"/>
            <w:left w:val="none" w:sz="0" w:space="0" w:color="auto"/>
            <w:bottom w:val="none" w:sz="0" w:space="0" w:color="auto"/>
            <w:right w:val="none" w:sz="0" w:space="0" w:color="auto"/>
          </w:divBdr>
        </w:div>
        <w:div w:id="1690831520">
          <w:marLeft w:val="0"/>
          <w:marRight w:val="0"/>
          <w:marTop w:val="0"/>
          <w:marBottom w:val="0"/>
          <w:divBdr>
            <w:top w:val="none" w:sz="0" w:space="0" w:color="auto"/>
            <w:left w:val="none" w:sz="0" w:space="0" w:color="auto"/>
            <w:bottom w:val="none" w:sz="0" w:space="0" w:color="auto"/>
            <w:right w:val="none" w:sz="0" w:space="0" w:color="auto"/>
          </w:divBdr>
        </w:div>
        <w:div w:id="1733387138">
          <w:marLeft w:val="0"/>
          <w:marRight w:val="0"/>
          <w:marTop w:val="0"/>
          <w:marBottom w:val="0"/>
          <w:divBdr>
            <w:top w:val="none" w:sz="0" w:space="0" w:color="auto"/>
            <w:left w:val="none" w:sz="0" w:space="0" w:color="auto"/>
            <w:bottom w:val="none" w:sz="0" w:space="0" w:color="auto"/>
            <w:right w:val="none" w:sz="0" w:space="0" w:color="auto"/>
          </w:divBdr>
        </w:div>
        <w:div w:id="1762487326">
          <w:marLeft w:val="0"/>
          <w:marRight w:val="0"/>
          <w:marTop w:val="0"/>
          <w:marBottom w:val="0"/>
          <w:divBdr>
            <w:top w:val="none" w:sz="0" w:space="0" w:color="auto"/>
            <w:left w:val="none" w:sz="0" w:space="0" w:color="auto"/>
            <w:bottom w:val="none" w:sz="0" w:space="0" w:color="auto"/>
            <w:right w:val="none" w:sz="0" w:space="0" w:color="auto"/>
          </w:divBdr>
        </w:div>
        <w:div w:id="1770469547">
          <w:marLeft w:val="0"/>
          <w:marRight w:val="0"/>
          <w:marTop w:val="0"/>
          <w:marBottom w:val="0"/>
          <w:divBdr>
            <w:top w:val="none" w:sz="0" w:space="0" w:color="auto"/>
            <w:left w:val="none" w:sz="0" w:space="0" w:color="auto"/>
            <w:bottom w:val="none" w:sz="0" w:space="0" w:color="auto"/>
            <w:right w:val="none" w:sz="0" w:space="0" w:color="auto"/>
          </w:divBdr>
        </w:div>
        <w:div w:id="1794712309">
          <w:marLeft w:val="0"/>
          <w:marRight w:val="0"/>
          <w:marTop w:val="0"/>
          <w:marBottom w:val="0"/>
          <w:divBdr>
            <w:top w:val="none" w:sz="0" w:space="0" w:color="auto"/>
            <w:left w:val="none" w:sz="0" w:space="0" w:color="auto"/>
            <w:bottom w:val="none" w:sz="0" w:space="0" w:color="auto"/>
            <w:right w:val="none" w:sz="0" w:space="0" w:color="auto"/>
          </w:divBdr>
        </w:div>
        <w:div w:id="1817068857">
          <w:marLeft w:val="0"/>
          <w:marRight w:val="0"/>
          <w:marTop w:val="0"/>
          <w:marBottom w:val="0"/>
          <w:divBdr>
            <w:top w:val="none" w:sz="0" w:space="0" w:color="auto"/>
            <w:left w:val="none" w:sz="0" w:space="0" w:color="auto"/>
            <w:bottom w:val="none" w:sz="0" w:space="0" w:color="auto"/>
            <w:right w:val="none" w:sz="0" w:space="0" w:color="auto"/>
          </w:divBdr>
        </w:div>
        <w:div w:id="1822961886">
          <w:marLeft w:val="0"/>
          <w:marRight w:val="0"/>
          <w:marTop w:val="0"/>
          <w:marBottom w:val="0"/>
          <w:divBdr>
            <w:top w:val="none" w:sz="0" w:space="0" w:color="auto"/>
            <w:left w:val="none" w:sz="0" w:space="0" w:color="auto"/>
            <w:bottom w:val="none" w:sz="0" w:space="0" w:color="auto"/>
            <w:right w:val="none" w:sz="0" w:space="0" w:color="auto"/>
          </w:divBdr>
        </w:div>
        <w:div w:id="1824273062">
          <w:marLeft w:val="0"/>
          <w:marRight w:val="0"/>
          <w:marTop w:val="0"/>
          <w:marBottom w:val="0"/>
          <w:divBdr>
            <w:top w:val="none" w:sz="0" w:space="0" w:color="auto"/>
            <w:left w:val="none" w:sz="0" w:space="0" w:color="auto"/>
            <w:bottom w:val="none" w:sz="0" w:space="0" w:color="auto"/>
            <w:right w:val="none" w:sz="0" w:space="0" w:color="auto"/>
          </w:divBdr>
        </w:div>
        <w:div w:id="1871644539">
          <w:marLeft w:val="0"/>
          <w:marRight w:val="0"/>
          <w:marTop w:val="0"/>
          <w:marBottom w:val="0"/>
          <w:divBdr>
            <w:top w:val="none" w:sz="0" w:space="0" w:color="auto"/>
            <w:left w:val="none" w:sz="0" w:space="0" w:color="auto"/>
            <w:bottom w:val="none" w:sz="0" w:space="0" w:color="auto"/>
            <w:right w:val="none" w:sz="0" w:space="0" w:color="auto"/>
          </w:divBdr>
        </w:div>
        <w:div w:id="1926910713">
          <w:marLeft w:val="0"/>
          <w:marRight w:val="0"/>
          <w:marTop w:val="0"/>
          <w:marBottom w:val="0"/>
          <w:divBdr>
            <w:top w:val="none" w:sz="0" w:space="0" w:color="auto"/>
            <w:left w:val="none" w:sz="0" w:space="0" w:color="auto"/>
            <w:bottom w:val="none" w:sz="0" w:space="0" w:color="auto"/>
            <w:right w:val="none" w:sz="0" w:space="0" w:color="auto"/>
          </w:divBdr>
        </w:div>
        <w:div w:id="1942571408">
          <w:marLeft w:val="0"/>
          <w:marRight w:val="0"/>
          <w:marTop w:val="0"/>
          <w:marBottom w:val="0"/>
          <w:divBdr>
            <w:top w:val="none" w:sz="0" w:space="0" w:color="auto"/>
            <w:left w:val="none" w:sz="0" w:space="0" w:color="auto"/>
            <w:bottom w:val="none" w:sz="0" w:space="0" w:color="auto"/>
            <w:right w:val="none" w:sz="0" w:space="0" w:color="auto"/>
          </w:divBdr>
        </w:div>
        <w:div w:id="1951277299">
          <w:marLeft w:val="0"/>
          <w:marRight w:val="0"/>
          <w:marTop w:val="0"/>
          <w:marBottom w:val="0"/>
          <w:divBdr>
            <w:top w:val="none" w:sz="0" w:space="0" w:color="auto"/>
            <w:left w:val="none" w:sz="0" w:space="0" w:color="auto"/>
            <w:bottom w:val="none" w:sz="0" w:space="0" w:color="auto"/>
            <w:right w:val="none" w:sz="0" w:space="0" w:color="auto"/>
          </w:divBdr>
        </w:div>
        <w:div w:id="1981838950">
          <w:marLeft w:val="0"/>
          <w:marRight w:val="0"/>
          <w:marTop w:val="0"/>
          <w:marBottom w:val="0"/>
          <w:divBdr>
            <w:top w:val="none" w:sz="0" w:space="0" w:color="auto"/>
            <w:left w:val="none" w:sz="0" w:space="0" w:color="auto"/>
            <w:bottom w:val="none" w:sz="0" w:space="0" w:color="auto"/>
            <w:right w:val="none" w:sz="0" w:space="0" w:color="auto"/>
          </w:divBdr>
        </w:div>
        <w:div w:id="2088649592">
          <w:marLeft w:val="0"/>
          <w:marRight w:val="0"/>
          <w:marTop w:val="0"/>
          <w:marBottom w:val="0"/>
          <w:divBdr>
            <w:top w:val="none" w:sz="0" w:space="0" w:color="auto"/>
            <w:left w:val="none" w:sz="0" w:space="0" w:color="auto"/>
            <w:bottom w:val="none" w:sz="0" w:space="0" w:color="auto"/>
            <w:right w:val="none" w:sz="0" w:space="0" w:color="auto"/>
          </w:divBdr>
        </w:div>
      </w:divsChild>
    </w:div>
    <w:div w:id="767114072">
      <w:bodyDiv w:val="1"/>
      <w:marLeft w:val="0"/>
      <w:marRight w:val="0"/>
      <w:marTop w:val="0"/>
      <w:marBottom w:val="0"/>
      <w:divBdr>
        <w:top w:val="none" w:sz="0" w:space="0" w:color="auto"/>
        <w:left w:val="none" w:sz="0" w:space="0" w:color="auto"/>
        <w:bottom w:val="none" w:sz="0" w:space="0" w:color="auto"/>
        <w:right w:val="none" w:sz="0" w:space="0" w:color="auto"/>
      </w:divBdr>
      <w:divsChild>
        <w:div w:id="50201717">
          <w:marLeft w:val="0"/>
          <w:marRight w:val="0"/>
          <w:marTop w:val="0"/>
          <w:marBottom w:val="0"/>
          <w:divBdr>
            <w:top w:val="none" w:sz="0" w:space="0" w:color="auto"/>
            <w:left w:val="none" w:sz="0" w:space="0" w:color="auto"/>
            <w:bottom w:val="none" w:sz="0" w:space="0" w:color="auto"/>
            <w:right w:val="none" w:sz="0" w:space="0" w:color="auto"/>
          </w:divBdr>
        </w:div>
        <w:div w:id="59061933">
          <w:marLeft w:val="0"/>
          <w:marRight w:val="0"/>
          <w:marTop w:val="0"/>
          <w:marBottom w:val="0"/>
          <w:divBdr>
            <w:top w:val="none" w:sz="0" w:space="0" w:color="auto"/>
            <w:left w:val="none" w:sz="0" w:space="0" w:color="auto"/>
            <w:bottom w:val="none" w:sz="0" w:space="0" w:color="auto"/>
            <w:right w:val="none" w:sz="0" w:space="0" w:color="auto"/>
          </w:divBdr>
        </w:div>
        <w:div w:id="120004612">
          <w:marLeft w:val="0"/>
          <w:marRight w:val="0"/>
          <w:marTop w:val="0"/>
          <w:marBottom w:val="0"/>
          <w:divBdr>
            <w:top w:val="none" w:sz="0" w:space="0" w:color="auto"/>
            <w:left w:val="none" w:sz="0" w:space="0" w:color="auto"/>
            <w:bottom w:val="none" w:sz="0" w:space="0" w:color="auto"/>
            <w:right w:val="none" w:sz="0" w:space="0" w:color="auto"/>
          </w:divBdr>
        </w:div>
        <w:div w:id="620841365">
          <w:marLeft w:val="0"/>
          <w:marRight w:val="0"/>
          <w:marTop w:val="0"/>
          <w:marBottom w:val="0"/>
          <w:divBdr>
            <w:top w:val="none" w:sz="0" w:space="0" w:color="auto"/>
            <w:left w:val="none" w:sz="0" w:space="0" w:color="auto"/>
            <w:bottom w:val="none" w:sz="0" w:space="0" w:color="auto"/>
            <w:right w:val="none" w:sz="0" w:space="0" w:color="auto"/>
          </w:divBdr>
        </w:div>
        <w:div w:id="1133326977">
          <w:marLeft w:val="0"/>
          <w:marRight w:val="0"/>
          <w:marTop w:val="0"/>
          <w:marBottom w:val="0"/>
          <w:divBdr>
            <w:top w:val="none" w:sz="0" w:space="0" w:color="auto"/>
            <w:left w:val="none" w:sz="0" w:space="0" w:color="auto"/>
            <w:bottom w:val="none" w:sz="0" w:space="0" w:color="auto"/>
            <w:right w:val="none" w:sz="0" w:space="0" w:color="auto"/>
          </w:divBdr>
        </w:div>
      </w:divsChild>
    </w:div>
    <w:div w:id="767582927">
      <w:bodyDiv w:val="1"/>
      <w:marLeft w:val="0"/>
      <w:marRight w:val="0"/>
      <w:marTop w:val="0"/>
      <w:marBottom w:val="0"/>
      <w:divBdr>
        <w:top w:val="none" w:sz="0" w:space="0" w:color="auto"/>
        <w:left w:val="none" w:sz="0" w:space="0" w:color="auto"/>
        <w:bottom w:val="none" w:sz="0" w:space="0" w:color="auto"/>
        <w:right w:val="none" w:sz="0" w:space="0" w:color="auto"/>
      </w:divBdr>
      <w:divsChild>
        <w:div w:id="21518707">
          <w:marLeft w:val="0"/>
          <w:marRight w:val="0"/>
          <w:marTop w:val="0"/>
          <w:marBottom w:val="0"/>
          <w:divBdr>
            <w:top w:val="none" w:sz="0" w:space="0" w:color="auto"/>
            <w:left w:val="none" w:sz="0" w:space="0" w:color="auto"/>
            <w:bottom w:val="none" w:sz="0" w:space="0" w:color="auto"/>
            <w:right w:val="none" w:sz="0" w:space="0" w:color="auto"/>
          </w:divBdr>
        </w:div>
        <w:div w:id="49152946">
          <w:marLeft w:val="0"/>
          <w:marRight w:val="0"/>
          <w:marTop w:val="0"/>
          <w:marBottom w:val="0"/>
          <w:divBdr>
            <w:top w:val="none" w:sz="0" w:space="0" w:color="auto"/>
            <w:left w:val="none" w:sz="0" w:space="0" w:color="auto"/>
            <w:bottom w:val="none" w:sz="0" w:space="0" w:color="auto"/>
            <w:right w:val="none" w:sz="0" w:space="0" w:color="auto"/>
          </w:divBdr>
        </w:div>
        <w:div w:id="106195371">
          <w:marLeft w:val="0"/>
          <w:marRight w:val="0"/>
          <w:marTop w:val="0"/>
          <w:marBottom w:val="0"/>
          <w:divBdr>
            <w:top w:val="none" w:sz="0" w:space="0" w:color="auto"/>
            <w:left w:val="none" w:sz="0" w:space="0" w:color="auto"/>
            <w:bottom w:val="none" w:sz="0" w:space="0" w:color="auto"/>
            <w:right w:val="none" w:sz="0" w:space="0" w:color="auto"/>
          </w:divBdr>
        </w:div>
        <w:div w:id="140197720">
          <w:marLeft w:val="0"/>
          <w:marRight w:val="0"/>
          <w:marTop w:val="0"/>
          <w:marBottom w:val="0"/>
          <w:divBdr>
            <w:top w:val="none" w:sz="0" w:space="0" w:color="auto"/>
            <w:left w:val="none" w:sz="0" w:space="0" w:color="auto"/>
            <w:bottom w:val="none" w:sz="0" w:space="0" w:color="auto"/>
            <w:right w:val="none" w:sz="0" w:space="0" w:color="auto"/>
          </w:divBdr>
        </w:div>
        <w:div w:id="153841651">
          <w:marLeft w:val="0"/>
          <w:marRight w:val="0"/>
          <w:marTop w:val="0"/>
          <w:marBottom w:val="0"/>
          <w:divBdr>
            <w:top w:val="none" w:sz="0" w:space="0" w:color="auto"/>
            <w:left w:val="none" w:sz="0" w:space="0" w:color="auto"/>
            <w:bottom w:val="none" w:sz="0" w:space="0" w:color="auto"/>
            <w:right w:val="none" w:sz="0" w:space="0" w:color="auto"/>
          </w:divBdr>
        </w:div>
        <w:div w:id="250312977">
          <w:marLeft w:val="0"/>
          <w:marRight w:val="0"/>
          <w:marTop w:val="0"/>
          <w:marBottom w:val="0"/>
          <w:divBdr>
            <w:top w:val="none" w:sz="0" w:space="0" w:color="auto"/>
            <w:left w:val="none" w:sz="0" w:space="0" w:color="auto"/>
            <w:bottom w:val="none" w:sz="0" w:space="0" w:color="auto"/>
            <w:right w:val="none" w:sz="0" w:space="0" w:color="auto"/>
          </w:divBdr>
        </w:div>
        <w:div w:id="285695435">
          <w:marLeft w:val="0"/>
          <w:marRight w:val="0"/>
          <w:marTop w:val="0"/>
          <w:marBottom w:val="0"/>
          <w:divBdr>
            <w:top w:val="none" w:sz="0" w:space="0" w:color="auto"/>
            <w:left w:val="none" w:sz="0" w:space="0" w:color="auto"/>
            <w:bottom w:val="none" w:sz="0" w:space="0" w:color="auto"/>
            <w:right w:val="none" w:sz="0" w:space="0" w:color="auto"/>
          </w:divBdr>
        </w:div>
        <w:div w:id="301691037">
          <w:marLeft w:val="0"/>
          <w:marRight w:val="0"/>
          <w:marTop w:val="0"/>
          <w:marBottom w:val="0"/>
          <w:divBdr>
            <w:top w:val="none" w:sz="0" w:space="0" w:color="auto"/>
            <w:left w:val="none" w:sz="0" w:space="0" w:color="auto"/>
            <w:bottom w:val="none" w:sz="0" w:space="0" w:color="auto"/>
            <w:right w:val="none" w:sz="0" w:space="0" w:color="auto"/>
          </w:divBdr>
        </w:div>
        <w:div w:id="366221208">
          <w:marLeft w:val="0"/>
          <w:marRight w:val="0"/>
          <w:marTop w:val="0"/>
          <w:marBottom w:val="0"/>
          <w:divBdr>
            <w:top w:val="none" w:sz="0" w:space="0" w:color="auto"/>
            <w:left w:val="none" w:sz="0" w:space="0" w:color="auto"/>
            <w:bottom w:val="none" w:sz="0" w:space="0" w:color="auto"/>
            <w:right w:val="none" w:sz="0" w:space="0" w:color="auto"/>
          </w:divBdr>
        </w:div>
        <w:div w:id="368919637">
          <w:marLeft w:val="0"/>
          <w:marRight w:val="0"/>
          <w:marTop w:val="0"/>
          <w:marBottom w:val="0"/>
          <w:divBdr>
            <w:top w:val="none" w:sz="0" w:space="0" w:color="auto"/>
            <w:left w:val="none" w:sz="0" w:space="0" w:color="auto"/>
            <w:bottom w:val="none" w:sz="0" w:space="0" w:color="auto"/>
            <w:right w:val="none" w:sz="0" w:space="0" w:color="auto"/>
          </w:divBdr>
        </w:div>
        <w:div w:id="454567554">
          <w:marLeft w:val="0"/>
          <w:marRight w:val="0"/>
          <w:marTop w:val="0"/>
          <w:marBottom w:val="0"/>
          <w:divBdr>
            <w:top w:val="none" w:sz="0" w:space="0" w:color="auto"/>
            <w:left w:val="none" w:sz="0" w:space="0" w:color="auto"/>
            <w:bottom w:val="none" w:sz="0" w:space="0" w:color="auto"/>
            <w:right w:val="none" w:sz="0" w:space="0" w:color="auto"/>
          </w:divBdr>
        </w:div>
        <w:div w:id="461919278">
          <w:marLeft w:val="0"/>
          <w:marRight w:val="0"/>
          <w:marTop w:val="0"/>
          <w:marBottom w:val="0"/>
          <w:divBdr>
            <w:top w:val="none" w:sz="0" w:space="0" w:color="auto"/>
            <w:left w:val="none" w:sz="0" w:space="0" w:color="auto"/>
            <w:bottom w:val="none" w:sz="0" w:space="0" w:color="auto"/>
            <w:right w:val="none" w:sz="0" w:space="0" w:color="auto"/>
          </w:divBdr>
        </w:div>
        <w:div w:id="483593126">
          <w:marLeft w:val="0"/>
          <w:marRight w:val="0"/>
          <w:marTop w:val="0"/>
          <w:marBottom w:val="0"/>
          <w:divBdr>
            <w:top w:val="none" w:sz="0" w:space="0" w:color="auto"/>
            <w:left w:val="none" w:sz="0" w:space="0" w:color="auto"/>
            <w:bottom w:val="none" w:sz="0" w:space="0" w:color="auto"/>
            <w:right w:val="none" w:sz="0" w:space="0" w:color="auto"/>
          </w:divBdr>
        </w:div>
        <w:div w:id="498471833">
          <w:marLeft w:val="0"/>
          <w:marRight w:val="0"/>
          <w:marTop w:val="0"/>
          <w:marBottom w:val="0"/>
          <w:divBdr>
            <w:top w:val="none" w:sz="0" w:space="0" w:color="auto"/>
            <w:left w:val="none" w:sz="0" w:space="0" w:color="auto"/>
            <w:bottom w:val="none" w:sz="0" w:space="0" w:color="auto"/>
            <w:right w:val="none" w:sz="0" w:space="0" w:color="auto"/>
          </w:divBdr>
        </w:div>
        <w:div w:id="509292749">
          <w:marLeft w:val="0"/>
          <w:marRight w:val="0"/>
          <w:marTop w:val="0"/>
          <w:marBottom w:val="0"/>
          <w:divBdr>
            <w:top w:val="none" w:sz="0" w:space="0" w:color="auto"/>
            <w:left w:val="none" w:sz="0" w:space="0" w:color="auto"/>
            <w:bottom w:val="none" w:sz="0" w:space="0" w:color="auto"/>
            <w:right w:val="none" w:sz="0" w:space="0" w:color="auto"/>
          </w:divBdr>
        </w:div>
        <w:div w:id="517429140">
          <w:marLeft w:val="0"/>
          <w:marRight w:val="0"/>
          <w:marTop w:val="0"/>
          <w:marBottom w:val="0"/>
          <w:divBdr>
            <w:top w:val="none" w:sz="0" w:space="0" w:color="auto"/>
            <w:left w:val="none" w:sz="0" w:space="0" w:color="auto"/>
            <w:bottom w:val="none" w:sz="0" w:space="0" w:color="auto"/>
            <w:right w:val="none" w:sz="0" w:space="0" w:color="auto"/>
          </w:divBdr>
        </w:div>
        <w:div w:id="519778084">
          <w:marLeft w:val="0"/>
          <w:marRight w:val="0"/>
          <w:marTop w:val="0"/>
          <w:marBottom w:val="0"/>
          <w:divBdr>
            <w:top w:val="none" w:sz="0" w:space="0" w:color="auto"/>
            <w:left w:val="none" w:sz="0" w:space="0" w:color="auto"/>
            <w:bottom w:val="none" w:sz="0" w:space="0" w:color="auto"/>
            <w:right w:val="none" w:sz="0" w:space="0" w:color="auto"/>
          </w:divBdr>
        </w:div>
        <w:div w:id="527915040">
          <w:marLeft w:val="0"/>
          <w:marRight w:val="0"/>
          <w:marTop w:val="0"/>
          <w:marBottom w:val="0"/>
          <w:divBdr>
            <w:top w:val="none" w:sz="0" w:space="0" w:color="auto"/>
            <w:left w:val="none" w:sz="0" w:space="0" w:color="auto"/>
            <w:bottom w:val="none" w:sz="0" w:space="0" w:color="auto"/>
            <w:right w:val="none" w:sz="0" w:space="0" w:color="auto"/>
          </w:divBdr>
        </w:div>
        <w:div w:id="530529471">
          <w:marLeft w:val="0"/>
          <w:marRight w:val="0"/>
          <w:marTop w:val="0"/>
          <w:marBottom w:val="0"/>
          <w:divBdr>
            <w:top w:val="none" w:sz="0" w:space="0" w:color="auto"/>
            <w:left w:val="none" w:sz="0" w:space="0" w:color="auto"/>
            <w:bottom w:val="none" w:sz="0" w:space="0" w:color="auto"/>
            <w:right w:val="none" w:sz="0" w:space="0" w:color="auto"/>
          </w:divBdr>
        </w:div>
        <w:div w:id="548802385">
          <w:marLeft w:val="0"/>
          <w:marRight w:val="0"/>
          <w:marTop w:val="0"/>
          <w:marBottom w:val="0"/>
          <w:divBdr>
            <w:top w:val="none" w:sz="0" w:space="0" w:color="auto"/>
            <w:left w:val="none" w:sz="0" w:space="0" w:color="auto"/>
            <w:bottom w:val="none" w:sz="0" w:space="0" w:color="auto"/>
            <w:right w:val="none" w:sz="0" w:space="0" w:color="auto"/>
          </w:divBdr>
        </w:div>
        <w:div w:id="573129667">
          <w:marLeft w:val="0"/>
          <w:marRight w:val="0"/>
          <w:marTop w:val="0"/>
          <w:marBottom w:val="0"/>
          <w:divBdr>
            <w:top w:val="none" w:sz="0" w:space="0" w:color="auto"/>
            <w:left w:val="none" w:sz="0" w:space="0" w:color="auto"/>
            <w:bottom w:val="none" w:sz="0" w:space="0" w:color="auto"/>
            <w:right w:val="none" w:sz="0" w:space="0" w:color="auto"/>
          </w:divBdr>
        </w:div>
        <w:div w:id="608240766">
          <w:marLeft w:val="0"/>
          <w:marRight w:val="0"/>
          <w:marTop w:val="0"/>
          <w:marBottom w:val="0"/>
          <w:divBdr>
            <w:top w:val="none" w:sz="0" w:space="0" w:color="auto"/>
            <w:left w:val="none" w:sz="0" w:space="0" w:color="auto"/>
            <w:bottom w:val="none" w:sz="0" w:space="0" w:color="auto"/>
            <w:right w:val="none" w:sz="0" w:space="0" w:color="auto"/>
          </w:divBdr>
        </w:div>
        <w:div w:id="636452775">
          <w:marLeft w:val="0"/>
          <w:marRight w:val="0"/>
          <w:marTop w:val="0"/>
          <w:marBottom w:val="0"/>
          <w:divBdr>
            <w:top w:val="none" w:sz="0" w:space="0" w:color="auto"/>
            <w:left w:val="none" w:sz="0" w:space="0" w:color="auto"/>
            <w:bottom w:val="none" w:sz="0" w:space="0" w:color="auto"/>
            <w:right w:val="none" w:sz="0" w:space="0" w:color="auto"/>
          </w:divBdr>
        </w:div>
        <w:div w:id="644045369">
          <w:marLeft w:val="0"/>
          <w:marRight w:val="0"/>
          <w:marTop w:val="0"/>
          <w:marBottom w:val="0"/>
          <w:divBdr>
            <w:top w:val="none" w:sz="0" w:space="0" w:color="auto"/>
            <w:left w:val="none" w:sz="0" w:space="0" w:color="auto"/>
            <w:bottom w:val="none" w:sz="0" w:space="0" w:color="auto"/>
            <w:right w:val="none" w:sz="0" w:space="0" w:color="auto"/>
          </w:divBdr>
        </w:div>
        <w:div w:id="652176376">
          <w:marLeft w:val="0"/>
          <w:marRight w:val="0"/>
          <w:marTop w:val="0"/>
          <w:marBottom w:val="0"/>
          <w:divBdr>
            <w:top w:val="none" w:sz="0" w:space="0" w:color="auto"/>
            <w:left w:val="none" w:sz="0" w:space="0" w:color="auto"/>
            <w:bottom w:val="none" w:sz="0" w:space="0" w:color="auto"/>
            <w:right w:val="none" w:sz="0" w:space="0" w:color="auto"/>
          </w:divBdr>
        </w:div>
        <w:div w:id="674917665">
          <w:marLeft w:val="0"/>
          <w:marRight w:val="0"/>
          <w:marTop w:val="0"/>
          <w:marBottom w:val="0"/>
          <w:divBdr>
            <w:top w:val="none" w:sz="0" w:space="0" w:color="auto"/>
            <w:left w:val="none" w:sz="0" w:space="0" w:color="auto"/>
            <w:bottom w:val="none" w:sz="0" w:space="0" w:color="auto"/>
            <w:right w:val="none" w:sz="0" w:space="0" w:color="auto"/>
          </w:divBdr>
        </w:div>
        <w:div w:id="686832438">
          <w:marLeft w:val="0"/>
          <w:marRight w:val="0"/>
          <w:marTop w:val="0"/>
          <w:marBottom w:val="0"/>
          <w:divBdr>
            <w:top w:val="none" w:sz="0" w:space="0" w:color="auto"/>
            <w:left w:val="none" w:sz="0" w:space="0" w:color="auto"/>
            <w:bottom w:val="none" w:sz="0" w:space="0" w:color="auto"/>
            <w:right w:val="none" w:sz="0" w:space="0" w:color="auto"/>
          </w:divBdr>
        </w:div>
        <w:div w:id="738284960">
          <w:marLeft w:val="0"/>
          <w:marRight w:val="0"/>
          <w:marTop w:val="0"/>
          <w:marBottom w:val="0"/>
          <w:divBdr>
            <w:top w:val="none" w:sz="0" w:space="0" w:color="auto"/>
            <w:left w:val="none" w:sz="0" w:space="0" w:color="auto"/>
            <w:bottom w:val="none" w:sz="0" w:space="0" w:color="auto"/>
            <w:right w:val="none" w:sz="0" w:space="0" w:color="auto"/>
          </w:divBdr>
        </w:div>
        <w:div w:id="794755916">
          <w:marLeft w:val="0"/>
          <w:marRight w:val="0"/>
          <w:marTop w:val="0"/>
          <w:marBottom w:val="0"/>
          <w:divBdr>
            <w:top w:val="none" w:sz="0" w:space="0" w:color="auto"/>
            <w:left w:val="none" w:sz="0" w:space="0" w:color="auto"/>
            <w:bottom w:val="none" w:sz="0" w:space="0" w:color="auto"/>
            <w:right w:val="none" w:sz="0" w:space="0" w:color="auto"/>
          </w:divBdr>
        </w:div>
        <w:div w:id="836336856">
          <w:marLeft w:val="0"/>
          <w:marRight w:val="0"/>
          <w:marTop w:val="0"/>
          <w:marBottom w:val="0"/>
          <w:divBdr>
            <w:top w:val="none" w:sz="0" w:space="0" w:color="auto"/>
            <w:left w:val="none" w:sz="0" w:space="0" w:color="auto"/>
            <w:bottom w:val="none" w:sz="0" w:space="0" w:color="auto"/>
            <w:right w:val="none" w:sz="0" w:space="0" w:color="auto"/>
          </w:divBdr>
        </w:div>
        <w:div w:id="842933722">
          <w:marLeft w:val="0"/>
          <w:marRight w:val="0"/>
          <w:marTop w:val="0"/>
          <w:marBottom w:val="0"/>
          <w:divBdr>
            <w:top w:val="none" w:sz="0" w:space="0" w:color="auto"/>
            <w:left w:val="none" w:sz="0" w:space="0" w:color="auto"/>
            <w:bottom w:val="none" w:sz="0" w:space="0" w:color="auto"/>
            <w:right w:val="none" w:sz="0" w:space="0" w:color="auto"/>
          </w:divBdr>
        </w:div>
        <w:div w:id="862549053">
          <w:marLeft w:val="0"/>
          <w:marRight w:val="0"/>
          <w:marTop w:val="0"/>
          <w:marBottom w:val="0"/>
          <w:divBdr>
            <w:top w:val="none" w:sz="0" w:space="0" w:color="auto"/>
            <w:left w:val="none" w:sz="0" w:space="0" w:color="auto"/>
            <w:bottom w:val="none" w:sz="0" w:space="0" w:color="auto"/>
            <w:right w:val="none" w:sz="0" w:space="0" w:color="auto"/>
          </w:divBdr>
        </w:div>
        <w:div w:id="899637188">
          <w:marLeft w:val="0"/>
          <w:marRight w:val="0"/>
          <w:marTop w:val="0"/>
          <w:marBottom w:val="0"/>
          <w:divBdr>
            <w:top w:val="none" w:sz="0" w:space="0" w:color="auto"/>
            <w:left w:val="none" w:sz="0" w:space="0" w:color="auto"/>
            <w:bottom w:val="none" w:sz="0" w:space="0" w:color="auto"/>
            <w:right w:val="none" w:sz="0" w:space="0" w:color="auto"/>
          </w:divBdr>
        </w:div>
        <w:div w:id="909461145">
          <w:marLeft w:val="0"/>
          <w:marRight w:val="0"/>
          <w:marTop w:val="0"/>
          <w:marBottom w:val="0"/>
          <w:divBdr>
            <w:top w:val="none" w:sz="0" w:space="0" w:color="auto"/>
            <w:left w:val="none" w:sz="0" w:space="0" w:color="auto"/>
            <w:bottom w:val="none" w:sz="0" w:space="0" w:color="auto"/>
            <w:right w:val="none" w:sz="0" w:space="0" w:color="auto"/>
          </w:divBdr>
        </w:div>
        <w:div w:id="911546091">
          <w:marLeft w:val="0"/>
          <w:marRight w:val="0"/>
          <w:marTop w:val="0"/>
          <w:marBottom w:val="0"/>
          <w:divBdr>
            <w:top w:val="none" w:sz="0" w:space="0" w:color="auto"/>
            <w:left w:val="none" w:sz="0" w:space="0" w:color="auto"/>
            <w:bottom w:val="none" w:sz="0" w:space="0" w:color="auto"/>
            <w:right w:val="none" w:sz="0" w:space="0" w:color="auto"/>
          </w:divBdr>
        </w:div>
        <w:div w:id="922109176">
          <w:marLeft w:val="0"/>
          <w:marRight w:val="0"/>
          <w:marTop w:val="0"/>
          <w:marBottom w:val="0"/>
          <w:divBdr>
            <w:top w:val="none" w:sz="0" w:space="0" w:color="auto"/>
            <w:left w:val="none" w:sz="0" w:space="0" w:color="auto"/>
            <w:bottom w:val="none" w:sz="0" w:space="0" w:color="auto"/>
            <w:right w:val="none" w:sz="0" w:space="0" w:color="auto"/>
          </w:divBdr>
        </w:div>
        <w:div w:id="928850712">
          <w:marLeft w:val="0"/>
          <w:marRight w:val="0"/>
          <w:marTop w:val="0"/>
          <w:marBottom w:val="0"/>
          <w:divBdr>
            <w:top w:val="none" w:sz="0" w:space="0" w:color="auto"/>
            <w:left w:val="none" w:sz="0" w:space="0" w:color="auto"/>
            <w:bottom w:val="none" w:sz="0" w:space="0" w:color="auto"/>
            <w:right w:val="none" w:sz="0" w:space="0" w:color="auto"/>
          </w:divBdr>
        </w:div>
        <w:div w:id="1027371008">
          <w:marLeft w:val="0"/>
          <w:marRight w:val="0"/>
          <w:marTop w:val="0"/>
          <w:marBottom w:val="0"/>
          <w:divBdr>
            <w:top w:val="none" w:sz="0" w:space="0" w:color="auto"/>
            <w:left w:val="none" w:sz="0" w:space="0" w:color="auto"/>
            <w:bottom w:val="none" w:sz="0" w:space="0" w:color="auto"/>
            <w:right w:val="none" w:sz="0" w:space="0" w:color="auto"/>
          </w:divBdr>
        </w:div>
        <w:div w:id="1030911628">
          <w:marLeft w:val="0"/>
          <w:marRight w:val="0"/>
          <w:marTop w:val="0"/>
          <w:marBottom w:val="0"/>
          <w:divBdr>
            <w:top w:val="none" w:sz="0" w:space="0" w:color="auto"/>
            <w:left w:val="none" w:sz="0" w:space="0" w:color="auto"/>
            <w:bottom w:val="none" w:sz="0" w:space="0" w:color="auto"/>
            <w:right w:val="none" w:sz="0" w:space="0" w:color="auto"/>
          </w:divBdr>
        </w:div>
        <w:div w:id="1110512465">
          <w:marLeft w:val="0"/>
          <w:marRight w:val="0"/>
          <w:marTop w:val="0"/>
          <w:marBottom w:val="0"/>
          <w:divBdr>
            <w:top w:val="none" w:sz="0" w:space="0" w:color="auto"/>
            <w:left w:val="none" w:sz="0" w:space="0" w:color="auto"/>
            <w:bottom w:val="none" w:sz="0" w:space="0" w:color="auto"/>
            <w:right w:val="none" w:sz="0" w:space="0" w:color="auto"/>
          </w:divBdr>
        </w:div>
        <w:div w:id="1124423430">
          <w:marLeft w:val="0"/>
          <w:marRight w:val="0"/>
          <w:marTop w:val="0"/>
          <w:marBottom w:val="0"/>
          <w:divBdr>
            <w:top w:val="none" w:sz="0" w:space="0" w:color="auto"/>
            <w:left w:val="none" w:sz="0" w:space="0" w:color="auto"/>
            <w:bottom w:val="none" w:sz="0" w:space="0" w:color="auto"/>
            <w:right w:val="none" w:sz="0" w:space="0" w:color="auto"/>
          </w:divBdr>
        </w:div>
        <w:div w:id="1183277986">
          <w:marLeft w:val="0"/>
          <w:marRight w:val="0"/>
          <w:marTop w:val="0"/>
          <w:marBottom w:val="0"/>
          <w:divBdr>
            <w:top w:val="none" w:sz="0" w:space="0" w:color="auto"/>
            <w:left w:val="none" w:sz="0" w:space="0" w:color="auto"/>
            <w:bottom w:val="none" w:sz="0" w:space="0" w:color="auto"/>
            <w:right w:val="none" w:sz="0" w:space="0" w:color="auto"/>
          </w:divBdr>
        </w:div>
        <w:div w:id="1197934143">
          <w:marLeft w:val="0"/>
          <w:marRight w:val="0"/>
          <w:marTop w:val="0"/>
          <w:marBottom w:val="0"/>
          <w:divBdr>
            <w:top w:val="none" w:sz="0" w:space="0" w:color="auto"/>
            <w:left w:val="none" w:sz="0" w:space="0" w:color="auto"/>
            <w:bottom w:val="none" w:sz="0" w:space="0" w:color="auto"/>
            <w:right w:val="none" w:sz="0" w:space="0" w:color="auto"/>
          </w:divBdr>
        </w:div>
        <w:div w:id="1206332407">
          <w:marLeft w:val="0"/>
          <w:marRight w:val="0"/>
          <w:marTop w:val="0"/>
          <w:marBottom w:val="0"/>
          <w:divBdr>
            <w:top w:val="none" w:sz="0" w:space="0" w:color="auto"/>
            <w:left w:val="none" w:sz="0" w:space="0" w:color="auto"/>
            <w:bottom w:val="none" w:sz="0" w:space="0" w:color="auto"/>
            <w:right w:val="none" w:sz="0" w:space="0" w:color="auto"/>
          </w:divBdr>
        </w:div>
        <w:div w:id="1222062992">
          <w:marLeft w:val="0"/>
          <w:marRight w:val="0"/>
          <w:marTop w:val="0"/>
          <w:marBottom w:val="0"/>
          <w:divBdr>
            <w:top w:val="none" w:sz="0" w:space="0" w:color="auto"/>
            <w:left w:val="none" w:sz="0" w:space="0" w:color="auto"/>
            <w:bottom w:val="none" w:sz="0" w:space="0" w:color="auto"/>
            <w:right w:val="none" w:sz="0" w:space="0" w:color="auto"/>
          </w:divBdr>
        </w:div>
        <w:div w:id="1266426147">
          <w:marLeft w:val="0"/>
          <w:marRight w:val="0"/>
          <w:marTop w:val="0"/>
          <w:marBottom w:val="0"/>
          <w:divBdr>
            <w:top w:val="none" w:sz="0" w:space="0" w:color="auto"/>
            <w:left w:val="none" w:sz="0" w:space="0" w:color="auto"/>
            <w:bottom w:val="none" w:sz="0" w:space="0" w:color="auto"/>
            <w:right w:val="none" w:sz="0" w:space="0" w:color="auto"/>
          </w:divBdr>
        </w:div>
        <w:div w:id="1280911489">
          <w:marLeft w:val="0"/>
          <w:marRight w:val="0"/>
          <w:marTop w:val="0"/>
          <w:marBottom w:val="0"/>
          <w:divBdr>
            <w:top w:val="none" w:sz="0" w:space="0" w:color="auto"/>
            <w:left w:val="none" w:sz="0" w:space="0" w:color="auto"/>
            <w:bottom w:val="none" w:sz="0" w:space="0" w:color="auto"/>
            <w:right w:val="none" w:sz="0" w:space="0" w:color="auto"/>
          </w:divBdr>
        </w:div>
        <w:div w:id="1284657822">
          <w:marLeft w:val="0"/>
          <w:marRight w:val="0"/>
          <w:marTop w:val="0"/>
          <w:marBottom w:val="0"/>
          <w:divBdr>
            <w:top w:val="none" w:sz="0" w:space="0" w:color="auto"/>
            <w:left w:val="none" w:sz="0" w:space="0" w:color="auto"/>
            <w:bottom w:val="none" w:sz="0" w:space="0" w:color="auto"/>
            <w:right w:val="none" w:sz="0" w:space="0" w:color="auto"/>
          </w:divBdr>
        </w:div>
        <w:div w:id="1332174129">
          <w:marLeft w:val="0"/>
          <w:marRight w:val="0"/>
          <w:marTop w:val="0"/>
          <w:marBottom w:val="0"/>
          <w:divBdr>
            <w:top w:val="none" w:sz="0" w:space="0" w:color="auto"/>
            <w:left w:val="none" w:sz="0" w:space="0" w:color="auto"/>
            <w:bottom w:val="none" w:sz="0" w:space="0" w:color="auto"/>
            <w:right w:val="none" w:sz="0" w:space="0" w:color="auto"/>
          </w:divBdr>
        </w:div>
        <w:div w:id="1360819994">
          <w:marLeft w:val="0"/>
          <w:marRight w:val="0"/>
          <w:marTop w:val="0"/>
          <w:marBottom w:val="0"/>
          <w:divBdr>
            <w:top w:val="none" w:sz="0" w:space="0" w:color="auto"/>
            <w:left w:val="none" w:sz="0" w:space="0" w:color="auto"/>
            <w:bottom w:val="none" w:sz="0" w:space="0" w:color="auto"/>
            <w:right w:val="none" w:sz="0" w:space="0" w:color="auto"/>
          </w:divBdr>
        </w:div>
        <w:div w:id="1381251620">
          <w:marLeft w:val="0"/>
          <w:marRight w:val="0"/>
          <w:marTop w:val="0"/>
          <w:marBottom w:val="0"/>
          <w:divBdr>
            <w:top w:val="none" w:sz="0" w:space="0" w:color="auto"/>
            <w:left w:val="none" w:sz="0" w:space="0" w:color="auto"/>
            <w:bottom w:val="none" w:sz="0" w:space="0" w:color="auto"/>
            <w:right w:val="none" w:sz="0" w:space="0" w:color="auto"/>
          </w:divBdr>
        </w:div>
        <w:div w:id="1432437813">
          <w:marLeft w:val="0"/>
          <w:marRight w:val="0"/>
          <w:marTop w:val="0"/>
          <w:marBottom w:val="0"/>
          <w:divBdr>
            <w:top w:val="none" w:sz="0" w:space="0" w:color="auto"/>
            <w:left w:val="none" w:sz="0" w:space="0" w:color="auto"/>
            <w:bottom w:val="none" w:sz="0" w:space="0" w:color="auto"/>
            <w:right w:val="none" w:sz="0" w:space="0" w:color="auto"/>
          </w:divBdr>
        </w:div>
        <w:div w:id="1439331215">
          <w:marLeft w:val="0"/>
          <w:marRight w:val="0"/>
          <w:marTop w:val="0"/>
          <w:marBottom w:val="0"/>
          <w:divBdr>
            <w:top w:val="none" w:sz="0" w:space="0" w:color="auto"/>
            <w:left w:val="none" w:sz="0" w:space="0" w:color="auto"/>
            <w:bottom w:val="none" w:sz="0" w:space="0" w:color="auto"/>
            <w:right w:val="none" w:sz="0" w:space="0" w:color="auto"/>
          </w:divBdr>
        </w:div>
        <w:div w:id="1487358395">
          <w:marLeft w:val="0"/>
          <w:marRight w:val="0"/>
          <w:marTop w:val="0"/>
          <w:marBottom w:val="0"/>
          <w:divBdr>
            <w:top w:val="none" w:sz="0" w:space="0" w:color="auto"/>
            <w:left w:val="none" w:sz="0" w:space="0" w:color="auto"/>
            <w:bottom w:val="none" w:sz="0" w:space="0" w:color="auto"/>
            <w:right w:val="none" w:sz="0" w:space="0" w:color="auto"/>
          </w:divBdr>
        </w:div>
        <w:div w:id="1496338639">
          <w:marLeft w:val="0"/>
          <w:marRight w:val="0"/>
          <w:marTop w:val="0"/>
          <w:marBottom w:val="0"/>
          <w:divBdr>
            <w:top w:val="none" w:sz="0" w:space="0" w:color="auto"/>
            <w:left w:val="none" w:sz="0" w:space="0" w:color="auto"/>
            <w:bottom w:val="none" w:sz="0" w:space="0" w:color="auto"/>
            <w:right w:val="none" w:sz="0" w:space="0" w:color="auto"/>
          </w:divBdr>
        </w:div>
        <w:div w:id="1505702279">
          <w:marLeft w:val="0"/>
          <w:marRight w:val="0"/>
          <w:marTop w:val="0"/>
          <w:marBottom w:val="0"/>
          <w:divBdr>
            <w:top w:val="none" w:sz="0" w:space="0" w:color="auto"/>
            <w:left w:val="none" w:sz="0" w:space="0" w:color="auto"/>
            <w:bottom w:val="none" w:sz="0" w:space="0" w:color="auto"/>
            <w:right w:val="none" w:sz="0" w:space="0" w:color="auto"/>
          </w:divBdr>
        </w:div>
        <w:div w:id="1534688677">
          <w:marLeft w:val="0"/>
          <w:marRight w:val="0"/>
          <w:marTop w:val="0"/>
          <w:marBottom w:val="0"/>
          <w:divBdr>
            <w:top w:val="none" w:sz="0" w:space="0" w:color="auto"/>
            <w:left w:val="none" w:sz="0" w:space="0" w:color="auto"/>
            <w:bottom w:val="none" w:sz="0" w:space="0" w:color="auto"/>
            <w:right w:val="none" w:sz="0" w:space="0" w:color="auto"/>
          </w:divBdr>
        </w:div>
        <w:div w:id="1539510755">
          <w:marLeft w:val="0"/>
          <w:marRight w:val="0"/>
          <w:marTop w:val="0"/>
          <w:marBottom w:val="0"/>
          <w:divBdr>
            <w:top w:val="none" w:sz="0" w:space="0" w:color="auto"/>
            <w:left w:val="none" w:sz="0" w:space="0" w:color="auto"/>
            <w:bottom w:val="none" w:sz="0" w:space="0" w:color="auto"/>
            <w:right w:val="none" w:sz="0" w:space="0" w:color="auto"/>
          </w:divBdr>
        </w:div>
        <w:div w:id="1546139232">
          <w:marLeft w:val="0"/>
          <w:marRight w:val="0"/>
          <w:marTop w:val="0"/>
          <w:marBottom w:val="0"/>
          <w:divBdr>
            <w:top w:val="none" w:sz="0" w:space="0" w:color="auto"/>
            <w:left w:val="none" w:sz="0" w:space="0" w:color="auto"/>
            <w:bottom w:val="none" w:sz="0" w:space="0" w:color="auto"/>
            <w:right w:val="none" w:sz="0" w:space="0" w:color="auto"/>
          </w:divBdr>
        </w:div>
        <w:div w:id="1548683014">
          <w:marLeft w:val="0"/>
          <w:marRight w:val="0"/>
          <w:marTop w:val="0"/>
          <w:marBottom w:val="0"/>
          <w:divBdr>
            <w:top w:val="none" w:sz="0" w:space="0" w:color="auto"/>
            <w:left w:val="none" w:sz="0" w:space="0" w:color="auto"/>
            <w:bottom w:val="none" w:sz="0" w:space="0" w:color="auto"/>
            <w:right w:val="none" w:sz="0" w:space="0" w:color="auto"/>
          </w:divBdr>
        </w:div>
        <w:div w:id="1548688292">
          <w:marLeft w:val="0"/>
          <w:marRight w:val="0"/>
          <w:marTop w:val="0"/>
          <w:marBottom w:val="0"/>
          <w:divBdr>
            <w:top w:val="none" w:sz="0" w:space="0" w:color="auto"/>
            <w:left w:val="none" w:sz="0" w:space="0" w:color="auto"/>
            <w:bottom w:val="none" w:sz="0" w:space="0" w:color="auto"/>
            <w:right w:val="none" w:sz="0" w:space="0" w:color="auto"/>
          </w:divBdr>
        </w:div>
        <w:div w:id="1635058595">
          <w:marLeft w:val="0"/>
          <w:marRight w:val="0"/>
          <w:marTop w:val="0"/>
          <w:marBottom w:val="0"/>
          <w:divBdr>
            <w:top w:val="none" w:sz="0" w:space="0" w:color="auto"/>
            <w:left w:val="none" w:sz="0" w:space="0" w:color="auto"/>
            <w:bottom w:val="none" w:sz="0" w:space="0" w:color="auto"/>
            <w:right w:val="none" w:sz="0" w:space="0" w:color="auto"/>
          </w:divBdr>
        </w:div>
        <w:div w:id="1648632936">
          <w:marLeft w:val="0"/>
          <w:marRight w:val="0"/>
          <w:marTop w:val="0"/>
          <w:marBottom w:val="0"/>
          <w:divBdr>
            <w:top w:val="none" w:sz="0" w:space="0" w:color="auto"/>
            <w:left w:val="none" w:sz="0" w:space="0" w:color="auto"/>
            <w:bottom w:val="none" w:sz="0" w:space="0" w:color="auto"/>
            <w:right w:val="none" w:sz="0" w:space="0" w:color="auto"/>
          </w:divBdr>
        </w:div>
        <w:div w:id="1652371861">
          <w:marLeft w:val="0"/>
          <w:marRight w:val="0"/>
          <w:marTop w:val="0"/>
          <w:marBottom w:val="0"/>
          <w:divBdr>
            <w:top w:val="none" w:sz="0" w:space="0" w:color="auto"/>
            <w:left w:val="none" w:sz="0" w:space="0" w:color="auto"/>
            <w:bottom w:val="none" w:sz="0" w:space="0" w:color="auto"/>
            <w:right w:val="none" w:sz="0" w:space="0" w:color="auto"/>
          </w:divBdr>
        </w:div>
        <w:div w:id="1688752908">
          <w:marLeft w:val="0"/>
          <w:marRight w:val="0"/>
          <w:marTop w:val="0"/>
          <w:marBottom w:val="0"/>
          <w:divBdr>
            <w:top w:val="none" w:sz="0" w:space="0" w:color="auto"/>
            <w:left w:val="none" w:sz="0" w:space="0" w:color="auto"/>
            <w:bottom w:val="none" w:sz="0" w:space="0" w:color="auto"/>
            <w:right w:val="none" w:sz="0" w:space="0" w:color="auto"/>
          </w:divBdr>
        </w:div>
        <w:div w:id="1696999110">
          <w:marLeft w:val="0"/>
          <w:marRight w:val="0"/>
          <w:marTop w:val="0"/>
          <w:marBottom w:val="0"/>
          <w:divBdr>
            <w:top w:val="none" w:sz="0" w:space="0" w:color="auto"/>
            <w:left w:val="none" w:sz="0" w:space="0" w:color="auto"/>
            <w:bottom w:val="none" w:sz="0" w:space="0" w:color="auto"/>
            <w:right w:val="none" w:sz="0" w:space="0" w:color="auto"/>
          </w:divBdr>
        </w:div>
        <w:div w:id="1698579755">
          <w:marLeft w:val="0"/>
          <w:marRight w:val="0"/>
          <w:marTop w:val="0"/>
          <w:marBottom w:val="0"/>
          <w:divBdr>
            <w:top w:val="none" w:sz="0" w:space="0" w:color="auto"/>
            <w:left w:val="none" w:sz="0" w:space="0" w:color="auto"/>
            <w:bottom w:val="none" w:sz="0" w:space="0" w:color="auto"/>
            <w:right w:val="none" w:sz="0" w:space="0" w:color="auto"/>
          </w:divBdr>
        </w:div>
        <w:div w:id="1786466774">
          <w:marLeft w:val="0"/>
          <w:marRight w:val="0"/>
          <w:marTop w:val="0"/>
          <w:marBottom w:val="0"/>
          <w:divBdr>
            <w:top w:val="none" w:sz="0" w:space="0" w:color="auto"/>
            <w:left w:val="none" w:sz="0" w:space="0" w:color="auto"/>
            <w:bottom w:val="none" w:sz="0" w:space="0" w:color="auto"/>
            <w:right w:val="none" w:sz="0" w:space="0" w:color="auto"/>
          </w:divBdr>
        </w:div>
        <w:div w:id="1796177336">
          <w:marLeft w:val="0"/>
          <w:marRight w:val="0"/>
          <w:marTop w:val="0"/>
          <w:marBottom w:val="0"/>
          <w:divBdr>
            <w:top w:val="none" w:sz="0" w:space="0" w:color="auto"/>
            <w:left w:val="none" w:sz="0" w:space="0" w:color="auto"/>
            <w:bottom w:val="none" w:sz="0" w:space="0" w:color="auto"/>
            <w:right w:val="none" w:sz="0" w:space="0" w:color="auto"/>
          </w:divBdr>
        </w:div>
        <w:div w:id="1821312252">
          <w:marLeft w:val="0"/>
          <w:marRight w:val="0"/>
          <w:marTop w:val="0"/>
          <w:marBottom w:val="0"/>
          <w:divBdr>
            <w:top w:val="none" w:sz="0" w:space="0" w:color="auto"/>
            <w:left w:val="none" w:sz="0" w:space="0" w:color="auto"/>
            <w:bottom w:val="none" w:sz="0" w:space="0" w:color="auto"/>
            <w:right w:val="none" w:sz="0" w:space="0" w:color="auto"/>
          </w:divBdr>
        </w:div>
        <w:div w:id="1905211650">
          <w:marLeft w:val="0"/>
          <w:marRight w:val="0"/>
          <w:marTop w:val="0"/>
          <w:marBottom w:val="0"/>
          <w:divBdr>
            <w:top w:val="none" w:sz="0" w:space="0" w:color="auto"/>
            <w:left w:val="none" w:sz="0" w:space="0" w:color="auto"/>
            <w:bottom w:val="none" w:sz="0" w:space="0" w:color="auto"/>
            <w:right w:val="none" w:sz="0" w:space="0" w:color="auto"/>
          </w:divBdr>
        </w:div>
        <w:div w:id="1932005118">
          <w:marLeft w:val="0"/>
          <w:marRight w:val="0"/>
          <w:marTop w:val="0"/>
          <w:marBottom w:val="0"/>
          <w:divBdr>
            <w:top w:val="none" w:sz="0" w:space="0" w:color="auto"/>
            <w:left w:val="none" w:sz="0" w:space="0" w:color="auto"/>
            <w:bottom w:val="none" w:sz="0" w:space="0" w:color="auto"/>
            <w:right w:val="none" w:sz="0" w:space="0" w:color="auto"/>
          </w:divBdr>
        </w:div>
        <w:div w:id="1938710037">
          <w:marLeft w:val="0"/>
          <w:marRight w:val="0"/>
          <w:marTop w:val="0"/>
          <w:marBottom w:val="0"/>
          <w:divBdr>
            <w:top w:val="none" w:sz="0" w:space="0" w:color="auto"/>
            <w:left w:val="none" w:sz="0" w:space="0" w:color="auto"/>
            <w:bottom w:val="none" w:sz="0" w:space="0" w:color="auto"/>
            <w:right w:val="none" w:sz="0" w:space="0" w:color="auto"/>
          </w:divBdr>
        </w:div>
        <w:div w:id="1953509545">
          <w:marLeft w:val="0"/>
          <w:marRight w:val="0"/>
          <w:marTop w:val="0"/>
          <w:marBottom w:val="0"/>
          <w:divBdr>
            <w:top w:val="none" w:sz="0" w:space="0" w:color="auto"/>
            <w:left w:val="none" w:sz="0" w:space="0" w:color="auto"/>
            <w:bottom w:val="none" w:sz="0" w:space="0" w:color="auto"/>
            <w:right w:val="none" w:sz="0" w:space="0" w:color="auto"/>
          </w:divBdr>
        </w:div>
        <w:div w:id="1970285749">
          <w:marLeft w:val="0"/>
          <w:marRight w:val="0"/>
          <w:marTop w:val="0"/>
          <w:marBottom w:val="0"/>
          <w:divBdr>
            <w:top w:val="none" w:sz="0" w:space="0" w:color="auto"/>
            <w:left w:val="none" w:sz="0" w:space="0" w:color="auto"/>
            <w:bottom w:val="none" w:sz="0" w:space="0" w:color="auto"/>
            <w:right w:val="none" w:sz="0" w:space="0" w:color="auto"/>
          </w:divBdr>
        </w:div>
        <w:div w:id="1975863349">
          <w:marLeft w:val="0"/>
          <w:marRight w:val="0"/>
          <w:marTop w:val="0"/>
          <w:marBottom w:val="0"/>
          <w:divBdr>
            <w:top w:val="none" w:sz="0" w:space="0" w:color="auto"/>
            <w:left w:val="none" w:sz="0" w:space="0" w:color="auto"/>
            <w:bottom w:val="none" w:sz="0" w:space="0" w:color="auto"/>
            <w:right w:val="none" w:sz="0" w:space="0" w:color="auto"/>
          </w:divBdr>
        </w:div>
        <w:div w:id="1995647796">
          <w:marLeft w:val="0"/>
          <w:marRight w:val="0"/>
          <w:marTop w:val="0"/>
          <w:marBottom w:val="0"/>
          <w:divBdr>
            <w:top w:val="none" w:sz="0" w:space="0" w:color="auto"/>
            <w:left w:val="none" w:sz="0" w:space="0" w:color="auto"/>
            <w:bottom w:val="none" w:sz="0" w:space="0" w:color="auto"/>
            <w:right w:val="none" w:sz="0" w:space="0" w:color="auto"/>
          </w:divBdr>
        </w:div>
        <w:div w:id="2020082074">
          <w:marLeft w:val="0"/>
          <w:marRight w:val="0"/>
          <w:marTop w:val="0"/>
          <w:marBottom w:val="0"/>
          <w:divBdr>
            <w:top w:val="none" w:sz="0" w:space="0" w:color="auto"/>
            <w:left w:val="none" w:sz="0" w:space="0" w:color="auto"/>
            <w:bottom w:val="none" w:sz="0" w:space="0" w:color="auto"/>
            <w:right w:val="none" w:sz="0" w:space="0" w:color="auto"/>
          </w:divBdr>
        </w:div>
        <w:div w:id="2037653471">
          <w:marLeft w:val="0"/>
          <w:marRight w:val="0"/>
          <w:marTop w:val="0"/>
          <w:marBottom w:val="0"/>
          <w:divBdr>
            <w:top w:val="none" w:sz="0" w:space="0" w:color="auto"/>
            <w:left w:val="none" w:sz="0" w:space="0" w:color="auto"/>
            <w:bottom w:val="none" w:sz="0" w:space="0" w:color="auto"/>
            <w:right w:val="none" w:sz="0" w:space="0" w:color="auto"/>
          </w:divBdr>
        </w:div>
        <w:div w:id="2044819245">
          <w:marLeft w:val="0"/>
          <w:marRight w:val="0"/>
          <w:marTop w:val="0"/>
          <w:marBottom w:val="0"/>
          <w:divBdr>
            <w:top w:val="none" w:sz="0" w:space="0" w:color="auto"/>
            <w:left w:val="none" w:sz="0" w:space="0" w:color="auto"/>
            <w:bottom w:val="none" w:sz="0" w:space="0" w:color="auto"/>
            <w:right w:val="none" w:sz="0" w:space="0" w:color="auto"/>
          </w:divBdr>
        </w:div>
        <w:div w:id="2045132199">
          <w:marLeft w:val="0"/>
          <w:marRight w:val="0"/>
          <w:marTop w:val="0"/>
          <w:marBottom w:val="0"/>
          <w:divBdr>
            <w:top w:val="none" w:sz="0" w:space="0" w:color="auto"/>
            <w:left w:val="none" w:sz="0" w:space="0" w:color="auto"/>
            <w:bottom w:val="none" w:sz="0" w:space="0" w:color="auto"/>
            <w:right w:val="none" w:sz="0" w:space="0" w:color="auto"/>
          </w:divBdr>
        </w:div>
        <w:div w:id="2075007283">
          <w:marLeft w:val="0"/>
          <w:marRight w:val="0"/>
          <w:marTop w:val="0"/>
          <w:marBottom w:val="0"/>
          <w:divBdr>
            <w:top w:val="none" w:sz="0" w:space="0" w:color="auto"/>
            <w:left w:val="none" w:sz="0" w:space="0" w:color="auto"/>
            <w:bottom w:val="none" w:sz="0" w:space="0" w:color="auto"/>
            <w:right w:val="none" w:sz="0" w:space="0" w:color="auto"/>
          </w:divBdr>
        </w:div>
      </w:divsChild>
    </w:div>
    <w:div w:id="857281403">
      <w:bodyDiv w:val="1"/>
      <w:marLeft w:val="0"/>
      <w:marRight w:val="0"/>
      <w:marTop w:val="0"/>
      <w:marBottom w:val="0"/>
      <w:divBdr>
        <w:top w:val="none" w:sz="0" w:space="0" w:color="auto"/>
        <w:left w:val="none" w:sz="0" w:space="0" w:color="auto"/>
        <w:bottom w:val="none" w:sz="0" w:space="0" w:color="auto"/>
        <w:right w:val="none" w:sz="0" w:space="0" w:color="auto"/>
      </w:divBdr>
    </w:div>
    <w:div w:id="1051491163">
      <w:bodyDiv w:val="1"/>
      <w:marLeft w:val="0"/>
      <w:marRight w:val="0"/>
      <w:marTop w:val="0"/>
      <w:marBottom w:val="0"/>
      <w:divBdr>
        <w:top w:val="none" w:sz="0" w:space="0" w:color="auto"/>
        <w:left w:val="none" w:sz="0" w:space="0" w:color="auto"/>
        <w:bottom w:val="none" w:sz="0" w:space="0" w:color="auto"/>
        <w:right w:val="none" w:sz="0" w:space="0" w:color="auto"/>
      </w:divBdr>
      <w:divsChild>
        <w:div w:id="102504439">
          <w:marLeft w:val="0"/>
          <w:marRight w:val="0"/>
          <w:marTop w:val="0"/>
          <w:marBottom w:val="0"/>
          <w:divBdr>
            <w:top w:val="none" w:sz="0" w:space="0" w:color="auto"/>
            <w:left w:val="none" w:sz="0" w:space="0" w:color="auto"/>
            <w:bottom w:val="none" w:sz="0" w:space="0" w:color="auto"/>
            <w:right w:val="none" w:sz="0" w:space="0" w:color="auto"/>
          </w:divBdr>
        </w:div>
        <w:div w:id="183635824">
          <w:marLeft w:val="0"/>
          <w:marRight w:val="0"/>
          <w:marTop w:val="0"/>
          <w:marBottom w:val="0"/>
          <w:divBdr>
            <w:top w:val="none" w:sz="0" w:space="0" w:color="auto"/>
            <w:left w:val="none" w:sz="0" w:space="0" w:color="auto"/>
            <w:bottom w:val="none" w:sz="0" w:space="0" w:color="auto"/>
            <w:right w:val="none" w:sz="0" w:space="0" w:color="auto"/>
          </w:divBdr>
        </w:div>
        <w:div w:id="480737053">
          <w:marLeft w:val="0"/>
          <w:marRight w:val="0"/>
          <w:marTop w:val="0"/>
          <w:marBottom w:val="0"/>
          <w:divBdr>
            <w:top w:val="none" w:sz="0" w:space="0" w:color="auto"/>
            <w:left w:val="none" w:sz="0" w:space="0" w:color="auto"/>
            <w:bottom w:val="none" w:sz="0" w:space="0" w:color="auto"/>
            <w:right w:val="none" w:sz="0" w:space="0" w:color="auto"/>
          </w:divBdr>
        </w:div>
        <w:div w:id="1353145066">
          <w:marLeft w:val="0"/>
          <w:marRight w:val="0"/>
          <w:marTop w:val="0"/>
          <w:marBottom w:val="0"/>
          <w:divBdr>
            <w:top w:val="none" w:sz="0" w:space="0" w:color="auto"/>
            <w:left w:val="none" w:sz="0" w:space="0" w:color="auto"/>
            <w:bottom w:val="none" w:sz="0" w:space="0" w:color="auto"/>
            <w:right w:val="none" w:sz="0" w:space="0" w:color="auto"/>
          </w:divBdr>
        </w:div>
        <w:div w:id="1613052906">
          <w:marLeft w:val="0"/>
          <w:marRight w:val="0"/>
          <w:marTop w:val="0"/>
          <w:marBottom w:val="0"/>
          <w:divBdr>
            <w:top w:val="none" w:sz="0" w:space="0" w:color="auto"/>
            <w:left w:val="none" w:sz="0" w:space="0" w:color="auto"/>
            <w:bottom w:val="none" w:sz="0" w:space="0" w:color="auto"/>
            <w:right w:val="none" w:sz="0" w:space="0" w:color="auto"/>
          </w:divBdr>
        </w:div>
        <w:div w:id="1890218506">
          <w:marLeft w:val="0"/>
          <w:marRight w:val="0"/>
          <w:marTop w:val="0"/>
          <w:marBottom w:val="0"/>
          <w:divBdr>
            <w:top w:val="none" w:sz="0" w:space="0" w:color="auto"/>
            <w:left w:val="none" w:sz="0" w:space="0" w:color="auto"/>
            <w:bottom w:val="none" w:sz="0" w:space="0" w:color="auto"/>
            <w:right w:val="none" w:sz="0" w:space="0" w:color="auto"/>
          </w:divBdr>
        </w:div>
      </w:divsChild>
    </w:div>
    <w:div w:id="1064795235">
      <w:bodyDiv w:val="1"/>
      <w:marLeft w:val="0"/>
      <w:marRight w:val="0"/>
      <w:marTop w:val="0"/>
      <w:marBottom w:val="0"/>
      <w:divBdr>
        <w:top w:val="none" w:sz="0" w:space="0" w:color="auto"/>
        <w:left w:val="none" w:sz="0" w:space="0" w:color="auto"/>
        <w:bottom w:val="none" w:sz="0" w:space="0" w:color="auto"/>
        <w:right w:val="none" w:sz="0" w:space="0" w:color="auto"/>
      </w:divBdr>
    </w:div>
    <w:div w:id="1084381650">
      <w:bodyDiv w:val="1"/>
      <w:marLeft w:val="0"/>
      <w:marRight w:val="0"/>
      <w:marTop w:val="0"/>
      <w:marBottom w:val="0"/>
      <w:divBdr>
        <w:top w:val="none" w:sz="0" w:space="0" w:color="auto"/>
        <w:left w:val="none" w:sz="0" w:space="0" w:color="auto"/>
        <w:bottom w:val="none" w:sz="0" w:space="0" w:color="auto"/>
        <w:right w:val="none" w:sz="0" w:space="0" w:color="auto"/>
      </w:divBdr>
    </w:div>
    <w:div w:id="1187669372">
      <w:bodyDiv w:val="1"/>
      <w:marLeft w:val="0"/>
      <w:marRight w:val="0"/>
      <w:marTop w:val="0"/>
      <w:marBottom w:val="0"/>
      <w:divBdr>
        <w:top w:val="none" w:sz="0" w:space="0" w:color="auto"/>
        <w:left w:val="none" w:sz="0" w:space="0" w:color="auto"/>
        <w:bottom w:val="none" w:sz="0" w:space="0" w:color="auto"/>
        <w:right w:val="none" w:sz="0" w:space="0" w:color="auto"/>
      </w:divBdr>
      <w:divsChild>
        <w:div w:id="40567912">
          <w:marLeft w:val="0"/>
          <w:marRight w:val="0"/>
          <w:marTop w:val="0"/>
          <w:marBottom w:val="0"/>
          <w:divBdr>
            <w:top w:val="none" w:sz="0" w:space="0" w:color="auto"/>
            <w:left w:val="none" w:sz="0" w:space="0" w:color="auto"/>
            <w:bottom w:val="none" w:sz="0" w:space="0" w:color="auto"/>
            <w:right w:val="none" w:sz="0" w:space="0" w:color="auto"/>
          </w:divBdr>
        </w:div>
        <w:div w:id="83115520">
          <w:marLeft w:val="0"/>
          <w:marRight w:val="0"/>
          <w:marTop w:val="0"/>
          <w:marBottom w:val="0"/>
          <w:divBdr>
            <w:top w:val="none" w:sz="0" w:space="0" w:color="auto"/>
            <w:left w:val="none" w:sz="0" w:space="0" w:color="auto"/>
            <w:bottom w:val="none" w:sz="0" w:space="0" w:color="auto"/>
            <w:right w:val="none" w:sz="0" w:space="0" w:color="auto"/>
          </w:divBdr>
        </w:div>
        <w:div w:id="125243710">
          <w:marLeft w:val="0"/>
          <w:marRight w:val="0"/>
          <w:marTop w:val="0"/>
          <w:marBottom w:val="0"/>
          <w:divBdr>
            <w:top w:val="none" w:sz="0" w:space="0" w:color="auto"/>
            <w:left w:val="none" w:sz="0" w:space="0" w:color="auto"/>
            <w:bottom w:val="none" w:sz="0" w:space="0" w:color="auto"/>
            <w:right w:val="none" w:sz="0" w:space="0" w:color="auto"/>
          </w:divBdr>
        </w:div>
        <w:div w:id="138812197">
          <w:marLeft w:val="0"/>
          <w:marRight w:val="0"/>
          <w:marTop w:val="0"/>
          <w:marBottom w:val="0"/>
          <w:divBdr>
            <w:top w:val="none" w:sz="0" w:space="0" w:color="auto"/>
            <w:left w:val="none" w:sz="0" w:space="0" w:color="auto"/>
            <w:bottom w:val="none" w:sz="0" w:space="0" w:color="auto"/>
            <w:right w:val="none" w:sz="0" w:space="0" w:color="auto"/>
          </w:divBdr>
        </w:div>
        <w:div w:id="147215782">
          <w:marLeft w:val="0"/>
          <w:marRight w:val="0"/>
          <w:marTop w:val="0"/>
          <w:marBottom w:val="0"/>
          <w:divBdr>
            <w:top w:val="none" w:sz="0" w:space="0" w:color="auto"/>
            <w:left w:val="none" w:sz="0" w:space="0" w:color="auto"/>
            <w:bottom w:val="none" w:sz="0" w:space="0" w:color="auto"/>
            <w:right w:val="none" w:sz="0" w:space="0" w:color="auto"/>
          </w:divBdr>
        </w:div>
        <w:div w:id="148910112">
          <w:marLeft w:val="0"/>
          <w:marRight w:val="0"/>
          <w:marTop w:val="0"/>
          <w:marBottom w:val="0"/>
          <w:divBdr>
            <w:top w:val="none" w:sz="0" w:space="0" w:color="auto"/>
            <w:left w:val="none" w:sz="0" w:space="0" w:color="auto"/>
            <w:bottom w:val="none" w:sz="0" w:space="0" w:color="auto"/>
            <w:right w:val="none" w:sz="0" w:space="0" w:color="auto"/>
          </w:divBdr>
        </w:div>
        <w:div w:id="159735793">
          <w:marLeft w:val="0"/>
          <w:marRight w:val="0"/>
          <w:marTop w:val="0"/>
          <w:marBottom w:val="0"/>
          <w:divBdr>
            <w:top w:val="none" w:sz="0" w:space="0" w:color="auto"/>
            <w:left w:val="none" w:sz="0" w:space="0" w:color="auto"/>
            <w:bottom w:val="none" w:sz="0" w:space="0" w:color="auto"/>
            <w:right w:val="none" w:sz="0" w:space="0" w:color="auto"/>
          </w:divBdr>
        </w:div>
        <w:div w:id="165559441">
          <w:marLeft w:val="0"/>
          <w:marRight w:val="0"/>
          <w:marTop w:val="0"/>
          <w:marBottom w:val="0"/>
          <w:divBdr>
            <w:top w:val="none" w:sz="0" w:space="0" w:color="auto"/>
            <w:left w:val="none" w:sz="0" w:space="0" w:color="auto"/>
            <w:bottom w:val="none" w:sz="0" w:space="0" w:color="auto"/>
            <w:right w:val="none" w:sz="0" w:space="0" w:color="auto"/>
          </w:divBdr>
        </w:div>
        <w:div w:id="204803835">
          <w:marLeft w:val="0"/>
          <w:marRight w:val="0"/>
          <w:marTop w:val="0"/>
          <w:marBottom w:val="0"/>
          <w:divBdr>
            <w:top w:val="none" w:sz="0" w:space="0" w:color="auto"/>
            <w:left w:val="none" w:sz="0" w:space="0" w:color="auto"/>
            <w:bottom w:val="none" w:sz="0" w:space="0" w:color="auto"/>
            <w:right w:val="none" w:sz="0" w:space="0" w:color="auto"/>
          </w:divBdr>
        </w:div>
        <w:div w:id="239144781">
          <w:marLeft w:val="0"/>
          <w:marRight w:val="0"/>
          <w:marTop w:val="0"/>
          <w:marBottom w:val="0"/>
          <w:divBdr>
            <w:top w:val="none" w:sz="0" w:space="0" w:color="auto"/>
            <w:left w:val="none" w:sz="0" w:space="0" w:color="auto"/>
            <w:bottom w:val="none" w:sz="0" w:space="0" w:color="auto"/>
            <w:right w:val="none" w:sz="0" w:space="0" w:color="auto"/>
          </w:divBdr>
        </w:div>
        <w:div w:id="254479757">
          <w:marLeft w:val="0"/>
          <w:marRight w:val="0"/>
          <w:marTop w:val="0"/>
          <w:marBottom w:val="0"/>
          <w:divBdr>
            <w:top w:val="none" w:sz="0" w:space="0" w:color="auto"/>
            <w:left w:val="none" w:sz="0" w:space="0" w:color="auto"/>
            <w:bottom w:val="none" w:sz="0" w:space="0" w:color="auto"/>
            <w:right w:val="none" w:sz="0" w:space="0" w:color="auto"/>
          </w:divBdr>
        </w:div>
        <w:div w:id="277949144">
          <w:marLeft w:val="0"/>
          <w:marRight w:val="0"/>
          <w:marTop w:val="0"/>
          <w:marBottom w:val="0"/>
          <w:divBdr>
            <w:top w:val="none" w:sz="0" w:space="0" w:color="auto"/>
            <w:left w:val="none" w:sz="0" w:space="0" w:color="auto"/>
            <w:bottom w:val="none" w:sz="0" w:space="0" w:color="auto"/>
            <w:right w:val="none" w:sz="0" w:space="0" w:color="auto"/>
          </w:divBdr>
        </w:div>
        <w:div w:id="322052445">
          <w:marLeft w:val="0"/>
          <w:marRight w:val="0"/>
          <w:marTop w:val="0"/>
          <w:marBottom w:val="0"/>
          <w:divBdr>
            <w:top w:val="none" w:sz="0" w:space="0" w:color="auto"/>
            <w:left w:val="none" w:sz="0" w:space="0" w:color="auto"/>
            <w:bottom w:val="none" w:sz="0" w:space="0" w:color="auto"/>
            <w:right w:val="none" w:sz="0" w:space="0" w:color="auto"/>
          </w:divBdr>
        </w:div>
        <w:div w:id="374962838">
          <w:marLeft w:val="0"/>
          <w:marRight w:val="0"/>
          <w:marTop w:val="0"/>
          <w:marBottom w:val="0"/>
          <w:divBdr>
            <w:top w:val="none" w:sz="0" w:space="0" w:color="auto"/>
            <w:left w:val="none" w:sz="0" w:space="0" w:color="auto"/>
            <w:bottom w:val="none" w:sz="0" w:space="0" w:color="auto"/>
            <w:right w:val="none" w:sz="0" w:space="0" w:color="auto"/>
          </w:divBdr>
        </w:div>
        <w:div w:id="375590766">
          <w:marLeft w:val="0"/>
          <w:marRight w:val="0"/>
          <w:marTop w:val="0"/>
          <w:marBottom w:val="0"/>
          <w:divBdr>
            <w:top w:val="none" w:sz="0" w:space="0" w:color="auto"/>
            <w:left w:val="none" w:sz="0" w:space="0" w:color="auto"/>
            <w:bottom w:val="none" w:sz="0" w:space="0" w:color="auto"/>
            <w:right w:val="none" w:sz="0" w:space="0" w:color="auto"/>
          </w:divBdr>
        </w:div>
        <w:div w:id="391315720">
          <w:marLeft w:val="0"/>
          <w:marRight w:val="0"/>
          <w:marTop w:val="0"/>
          <w:marBottom w:val="0"/>
          <w:divBdr>
            <w:top w:val="none" w:sz="0" w:space="0" w:color="auto"/>
            <w:left w:val="none" w:sz="0" w:space="0" w:color="auto"/>
            <w:bottom w:val="none" w:sz="0" w:space="0" w:color="auto"/>
            <w:right w:val="none" w:sz="0" w:space="0" w:color="auto"/>
          </w:divBdr>
        </w:div>
        <w:div w:id="419957696">
          <w:marLeft w:val="0"/>
          <w:marRight w:val="0"/>
          <w:marTop w:val="0"/>
          <w:marBottom w:val="0"/>
          <w:divBdr>
            <w:top w:val="none" w:sz="0" w:space="0" w:color="auto"/>
            <w:left w:val="none" w:sz="0" w:space="0" w:color="auto"/>
            <w:bottom w:val="none" w:sz="0" w:space="0" w:color="auto"/>
            <w:right w:val="none" w:sz="0" w:space="0" w:color="auto"/>
          </w:divBdr>
        </w:div>
        <w:div w:id="446852729">
          <w:marLeft w:val="0"/>
          <w:marRight w:val="0"/>
          <w:marTop w:val="0"/>
          <w:marBottom w:val="0"/>
          <w:divBdr>
            <w:top w:val="none" w:sz="0" w:space="0" w:color="auto"/>
            <w:left w:val="none" w:sz="0" w:space="0" w:color="auto"/>
            <w:bottom w:val="none" w:sz="0" w:space="0" w:color="auto"/>
            <w:right w:val="none" w:sz="0" w:space="0" w:color="auto"/>
          </w:divBdr>
        </w:div>
        <w:div w:id="453447786">
          <w:marLeft w:val="0"/>
          <w:marRight w:val="0"/>
          <w:marTop w:val="0"/>
          <w:marBottom w:val="0"/>
          <w:divBdr>
            <w:top w:val="none" w:sz="0" w:space="0" w:color="auto"/>
            <w:left w:val="none" w:sz="0" w:space="0" w:color="auto"/>
            <w:bottom w:val="none" w:sz="0" w:space="0" w:color="auto"/>
            <w:right w:val="none" w:sz="0" w:space="0" w:color="auto"/>
          </w:divBdr>
        </w:div>
        <w:div w:id="454369319">
          <w:marLeft w:val="0"/>
          <w:marRight w:val="0"/>
          <w:marTop w:val="0"/>
          <w:marBottom w:val="0"/>
          <w:divBdr>
            <w:top w:val="none" w:sz="0" w:space="0" w:color="auto"/>
            <w:left w:val="none" w:sz="0" w:space="0" w:color="auto"/>
            <w:bottom w:val="none" w:sz="0" w:space="0" w:color="auto"/>
            <w:right w:val="none" w:sz="0" w:space="0" w:color="auto"/>
          </w:divBdr>
        </w:div>
        <w:div w:id="496193688">
          <w:marLeft w:val="0"/>
          <w:marRight w:val="0"/>
          <w:marTop w:val="0"/>
          <w:marBottom w:val="0"/>
          <w:divBdr>
            <w:top w:val="none" w:sz="0" w:space="0" w:color="auto"/>
            <w:left w:val="none" w:sz="0" w:space="0" w:color="auto"/>
            <w:bottom w:val="none" w:sz="0" w:space="0" w:color="auto"/>
            <w:right w:val="none" w:sz="0" w:space="0" w:color="auto"/>
          </w:divBdr>
        </w:div>
        <w:div w:id="498081486">
          <w:marLeft w:val="0"/>
          <w:marRight w:val="0"/>
          <w:marTop w:val="0"/>
          <w:marBottom w:val="0"/>
          <w:divBdr>
            <w:top w:val="none" w:sz="0" w:space="0" w:color="auto"/>
            <w:left w:val="none" w:sz="0" w:space="0" w:color="auto"/>
            <w:bottom w:val="none" w:sz="0" w:space="0" w:color="auto"/>
            <w:right w:val="none" w:sz="0" w:space="0" w:color="auto"/>
          </w:divBdr>
        </w:div>
        <w:div w:id="538468335">
          <w:marLeft w:val="0"/>
          <w:marRight w:val="0"/>
          <w:marTop w:val="0"/>
          <w:marBottom w:val="0"/>
          <w:divBdr>
            <w:top w:val="none" w:sz="0" w:space="0" w:color="auto"/>
            <w:left w:val="none" w:sz="0" w:space="0" w:color="auto"/>
            <w:bottom w:val="none" w:sz="0" w:space="0" w:color="auto"/>
            <w:right w:val="none" w:sz="0" w:space="0" w:color="auto"/>
          </w:divBdr>
        </w:div>
        <w:div w:id="556161260">
          <w:marLeft w:val="0"/>
          <w:marRight w:val="0"/>
          <w:marTop w:val="0"/>
          <w:marBottom w:val="0"/>
          <w:divBdr>
            <w:top w:val="none" w:sz="0" w:space="0" w:color="auto"/>
            <w:left w:val="none" w:sz="0" w:space="0" w:color="auto"/>
            <w:bottom w:val="none" w:sz="0" w:space="0" w:color="auto"/>
            <w:right w:val="none" w:sz="0" w:space="0" w:color="auto"/>
          </w:divBdr>
        </w:div>
        <w:div w:id="556354051">
          <w:marLeft w:val="0"/>
          <w:marRight w:val="0"/>
          <w:marTop w:val="0"/>
          <w:marBottom w:val="0"/>
          <w:divBdr>
            <w:top w:val="none" w:sz="0" w:space="0" w:color="auto"/>
            <w:left w:val="none" w:sz="0" w:space="0" w:color="auto"/>
            <w:bottom w:val="none" w:sz="0" w:space="0" w:color="auto"/>
            <w:right w:val="none" w:sz="0" w:space="0" w:color="auto"/>
          </w:divBdr>
        </w:div>
        <w:div w:id="607197087">
          <w:marLeft w:val="0"/>
          <w:marRight w:val="0"/>
          <w:marTop w:val="0"/>
          <w:marBottom w:val="0"/>
          <w:divBdr>
            <w:top w:val="none" w:sz="0" w:space="0" w:color="auto"/>
            <w:left w:val="none" w:sz="0" w:space="0" w:color="auto"/>
            <w:bottom w:val="none" w:sz="0" w:space="0" w:color="auto"/>
            <w:right w:val="none" w:sz="0" w:space="0" w:color="auto"/>
          </w:divBdr>
        </w:div>
        <w:div w:id="748964701">
          <w:marLeft w:val="0"/>
          <w:marRight w:val="0"/>
          <w:marTop w:val="0"/>
          <w:marBottom w:val="0"/>
          <w:divBdr>
            <w:top w:val="none" w:sz="0" w:space="0" w:color="auto"/>
            <w:left w:val="none" w:sz="0" w:space="0" w:color="auto"/>
            <w:bottom w:val="none" w:sz="0" w:space="0" w:color="auto"/>
            <w:right w:val="none" w:sz="0" w:space="0" w:color="auto"/>
          </w:divBdr>
        </w:div>
        <w:div w:id="810365739">
          <w:marLeft w:val="0"/>
          <w:marRight w:val="0"/>
          <w:marTop w:val="0"/>
          <w:marBottom w:val="0"/>
          <w:divBdr>
            <w:top w:val="none" w:sz="0" w:space="0" w:color="auto"/>
            <w:left w:val="none" w:sz="0" w:space="0" w:color="auto"/>
            <w:bottom w:val="none" w:sz="0" w:space="0" w:color="auto"/>
            <w:right w:val="none" w:sz="0" w:space="0" w:color="auto"/>
          </w:divBdr>
        </w:div>
        <w:div w:id="813252629">
          <w:marLeft w:val="0"/>
          <w:marRight w:val="0"/>
          <w:marTop w:val="0"/>
          <w:marBottom w:val="0"/>
          <w:divBdr>
            <w:top w:val="none" w:sz="0" w:space="0" w:color="auto"/>
            <w:left w:val="none" w:sz="0" w:space="0" w:color="auto"/>
            <w:bottom w:val="none" w:sz="0" w:space="0" w:color="auto"/>
            <w:right w:val="none" w:sz="0" w:space="0" w:color="auto"/>
          </w:divBdr>
        </w:div>
        <w:div w:id="912080040">
          <w:marLeft w:val="0"/>
          <w:marRight w:val="0"/>
          <w:marTop w:val="0"/>
          <w:marBottom w:val="0"/>
          <w:divBdr>
            <w:top w:val="none" w:sz="0" w:space="0" w:color="auto"/>
            <w:left w:val="none" w:sz="0" w:space="0" w:color="auto"/>
            <w:bottom w:val="none" w:sz="0" w:space="0" w:color="auto"/>
            <w:right w:val="none" w:sz="0" w:space="0" w:color="auto"/>
          </w:divBdr>
        </w:div>
        <w:div w:id="1001160648">
          <w:marLeft w:val="0"/>
          <w:marRight w:val="0"/>
          <w:marTop w:val="0"/>
          <w:marBottom w:val="0"/>
          <w:divBdr>
            <w:top w:val="none" w:sz="0" w:space="0" w:color="auto"/>
            <w:left w:val="none" w:sz="0" w:space="0" w:color="auto"/>
            <w:bottom w:val="none" w:sz="0" w:space="0" w:color="auto"/>
            <w:right w:val="none" w:sz="0" w:space="0" w:color="auto"/>
          </w:divBdr>
        </w:div>
        <w:div w:id="1029912811">
          <w:marLeft w:val="0"/>
          <w:marRight w:val="0"/>
          <w:marTop w:val="0"/>
          <w:marBottom w:val="0"/>
          <w:divBdr>
            <w:top w:val="none" w:sz="0" w:space="0" w:color="auto"/>
            <w:left w:val="none" w:sz="0" w:space="0" w:color="auto"/>
            <w:bottom w:val="none" w:sz="0" w:space="0" w:color="auto"/>
            <w:right w:val="none" w:sz="0" w:space="0" w:color="auto"/>
          </w:divBdr>
        </w:div>
        <w:div w:id="1045518809">
          <w:marLeft w:val="0"/>
          <w:marRight w:val="0"/>
          <w:marTop w:val="0"/>
          <w:marBottom w:val="0"/>
          <w:divBdr>
            <w:top w:val="none" w:sz="0" w:space="0" w:color="auto"/>
            <w:left w:val="none" w:sz="0" w:space="0" w:color="auto"/>
            <w:bottom w:val="none" w:sz="0" w:space="0" w:color="auto"/>
            <w:right w:val="none" w:sz="0" w:space="0" w:color="auto"/>
          </w:divBdr>
        </w:div>
        <w:div w:id="1051614589">
          <w:marLeft w:val="0"/>
          <w:marRight w:val="0"/>
          <w:marTop w:val="0"/>
          <w:marBottom w:val="0"/>
          <w:divBdr>
            <w:top w:val="none" w:sz="0" w:space="0" w:color="auto"/>
            <w:left w:val="none" w:sz="0" w:space="0" w:color="auto"/>
            <w:bottom w:val="none" w:sz="0" w:space="0" w:color="auto"/>
            <w:right w:val="none" w:sz="0" w:space="0" w:color="auto"/>
          </w:divBdr>
        </w:div>
        <w:div w:id="1061515990">
          <w:marLeft w:val="0"/>
          <w:marRight w:val="0"/>
          <w:marTop w:val="0"/>
          <w:marBottom w:val="0"/>
          <w:divBdr>
            <w:top w:val="none" w:sz="0" w:space="0" w:color="auto"/>
            <w:left w:val="none" w:sz="0" w:space="0" w:color="auto"/>
            <w:bottom w:val="none" w:sz="0" w:space="0" w:color="auto"/>
            <w:right w:val="none" w:sz="0" w:space="0" w:color="auto"/>
          </w:divBdr>
        </w:div>
        <w:div w:id="1091245263">
          <w:marLeft w:val="0"/>
          <w:marRight w:val="0"/>
          <w:marTop w:val="0"/>
          <w:marBottom w:val="0"/>
          <w:divBdr>
            <w:top w:val="none" w:sz="0" w:space="0" w:color="auto"/>
            <w:left w:val="none" w:sz="0" w:space="0" w:color="auto"/>
            <w:bottom w:val="none" w:sz="0" w:space="0" w:color="auto"/>
            <w:right w:val="none" w:sz="0" w:space="0" w:color="auto"/>
          </w:divBdr>
        </w:div>
        <w:div w:id="1168062872">
          <w:marLeft w:val="0"/>
          <w:marRight w:val="0"/>
          <w:marTop w:val="0"/>
          <w:marBottom w:val="0"/>
          <w:divBdr>
            <w:top w:val="none" w:sz="0" w:space="0" w:color="auto"/>
            <w:left w:val="none" w:sz="0" w:space="0" w:color="auto"/>
            <w:bottom w:val="none" w:sz="0" w:space="0" w:color="auto"/>
            <w:right w:val="none" w:sz="0" w:space="0" w:color="auto"/>
          </w:divBdr>
        </w:div>
        <w:div w:id="1186746961">
          <w:marLeft w:val="0"/>
          <w:marRight w:val="0"/>
          <w:marTop w:val="0"/>
          <w:marBottom w:val="0"/>
          <w:divBdr>
            <w:top w:val="none" w:sz="0" w:space="0" w:color="auto"/>
            <w:left w:val="none" w:sz="0" w:space="0" w:color="auto"/>
            <w:bottom w:val="none" w:sz="0" w:space="0" w:color="auto"/>
            <w:right w:val="none" w:sz="0" w:space="0" w:color="auto"/>
          </w:divBdr>
        </w:div>
        <w:div w:id="1198395160">
          <w:marLeft w:val="0"/>
          <w:marRight w:val="0"/>
          <w:marTop w:val="0"/>
          <w:marBottom w:val="0"/>
          <w:divBdr>
            <w:top w:val="none" w:sz="0" w:space="0" w:color="auto"/>
            <w:left w:val="none" w:sz="0" w:space="0" w:color="auto"/>
            <w:bottom w:val="none" w:sz="0" w:space="0" w:color="auto"/>
            <w:right w:val="none" w:sz="0" w:space="0" w:color="auto"/>
          </w:divBdr>
        </w:div>
        <w:div w:id="1206481813">
          <w:marLeft w:val="0"/>
          <w:marRight w:val="0"/>
          <w:marTop w:val="0"/>
          <w:marBottom w:val="0"/>
          <w:divBdr>
            <w:top w:val="none" w:sz="0" w:space="0" w:color="auto"/>
            <w:left w:val="none" w:sz="0" w:space="0" w:color="auto"/>
            <w:bottom w:val="none" w:sz="0" w:space="0" w:color="auto"/>
            <w:right w:val="none" w:sz="0" w:space="0" w:color="auto"/>
          </w:divBdr>
        </w:div>
        <w:div w:id="1239904815">
          <w:marLeft w:val="0"/>
          <w:marRight w:val="0"/>
          <w:marTop w:val="0"/>
          <w:marBottom w:val="0"/>
          <w:divBdr>
            <w:top w:val="none" w:sz="0" w:space="0" w:color="auto"/>
            <w:left w:val="none" w:sz="0" w:space="0" w:color="auto"/>
            <w:bottom w:val="none" w:sz="0" w:space="0" w:color="auto"/>
            <w:right w:val="none" w:sz="0" w:space="0" w:color="auto"/>
          </w:divBdr>
        </w:div>
        <w:div w:id="1326470331">
          <w:marLeft w:val="0"/>
          <w:marRight w:val="0"/>
          <w:marTop w:val="0"/>
          <w:marBottom w:val="0"/>
          <w:divBdr>
            <w:top w:val="none" w:sz="0" w:space="0" w:color="auto"/>
            <w:left w:val="none" w:sz="0" w:space="0" w:color="auto"/>
            <w:bottom w:val="none" w:sz="0" w:space="0" w:color="auto"/>
            <w:right w:val="none" w:sz="0" w:space="0" w:color="auto"/>
          </w:divBdr>
        </w:div>
        <w:div w:id="1347438936">
          <w:marLeft w:val="0"/>
          <w:marRight w:val="0"/>
          <w:marTop w:val="0"/>
          <w:marBottom w:val="0"/>
          <w:divBdr>
            <w:top w:val="none" w:sz="0" w:space="0" w:color="auto"/>
            <w:left w:val="none" w:sz="0" w:space="0" w:color="auto"/>
            <w:bottom w:val="none" w:sz="0" w:space="0" w:color="auto"/>
            <w:right w:val="none" w:sz="0" w:space="0" w:color="auto"/>
          </w:divBdr>
        </w:div>
        <w:div w:id="1371489738">
          <w:marLeft w:val="0"/>
          <w:marRight w:val="0"/>
          <w:marTop w:val="0"/>
          <w:marBottom w:val="0"/>
          <w:divBdr>
            <w:top w:val="none" w:sz="0" w:space="0" w:color="auto"/>
            <w:left w:val="none" w:sz="0" w:space="0" w:color="auto"/>
            <w:bottom w:val="none" w:sz="0" w:space="0" w:color="auto"/>
            <w:right w:val="none" w:sz="0" w:space="0" w:color="auto"/>
          </w:divBdr>
        </w:div>
        <w:div w:id="1448160513">
          <w:marLeft w:val="0"/>
          <w:marRight w:val="0"/>
          <w:marTop w:val="0"/>
          <w:marBottom w:val="0"/>
          <w:divBdr>
            <w:top w:val="none" w:sz="0" w:space="0" w:color="auto"/>
            <w:left w:val="none" w:sz="0" w:space="0" w:color="auto"/>
            <w:bottom w:val="none" w:sz="0" w:space="0" w:color="auto"/>
            <w:right w:val="none" w:sz="0" w:space="0" w:color="auto"/>
          </w:divBdr>
        </w:div>
        <w:div w:id="1513953100">
          <w:marLeft w:val="0"/>
          <w:marRight w:val="0"/>
          <w:marTop w:val="0"/>
          <w:marBottom w:val="0"/>
          <w:divBdr>
            <w:top w:val="none" w:sz="0" w:space="0" w:color="auto"/>
            <w:left w:val="none" w:sz="0" w:space="0" w:color="auto"/>
            <w:bottom w:val="none" w:sz="0" w:space="0" w:color="auto"/>
            <w:right w:val="none" w:sz="0" w:space="0" w:color="auto"/>
          </w:divBdr>
        </w:div>
        <w:div w:id="1538856656">
          <w:marLeft w:val="0"/>
          <w:marRight w:val="0"/>
          <w:marTop w:val="0"/>
          <w:marBottom w:val="0"/>
          <w:divBdr>
            <w:top w:val="none" w:sz="0" w:space="0" w:color="auto"/>
            <w:left w:val="none" w:sz="0" w:space="0" w:color="auto"/>
            <w:bottom w:val="none" w:sz="0" w:space="0" w:color="auto"/>
            <w:right w:val="none" w:sz="0" w:space="0" w:color="auto"/>
          </w:divBdr>
        </w:div>
        <w:div w:id="1592860126">
          <w:marLeft w:val="0"/>
          <w:marRight w:val="0"/>
          <w:marTop w:val="0"/>
          <w:marBottom w:val="0"/>
          <w:divBdr>
            <w:top w:val="none" w:sz="0" w:space="0" w:color="auto"/>
            <w:left w:val="none" w:sz="0" w:space="0" w:color="auto"/>
            <w:bottom w:val="none" w:sz="0" w:space="0" w:color="auto"/>
            <w:right w:val="none" w:sz="0" w:space="0" w:color="auto"/>
          </w:divBdr>
        </w:div>
        <w:div w:id="1650016857">
          <w:marLeft w:val="0"/>
          <w:marRight w:val="0"/>
          <w:marTop w:val="0"/>
          <w:marBottom w:val="0"/>
          <w:divBdr>
            <w:top w:val="none" w:sz="0" w:space="0" w:color="auto"/>
            <w:left w:val="none" w:sz="0" w:space="0" w:color="auto"/>
            <w:bottom w:val="none" w:sz="0" w:space="0" w:color="auto"/>
            <w:right w:val="none" w:sz="0" w:space="0" w:color="auto"/>
          </w:divBdr>
        </w:div>
        <w:div w:id="1653172659">
          <w:marLeft w:val="0"/>
          <w:marRight w:val="0"/>
          <w:marTop w:val="0"/>
          <w:marBottom w:val="0"/>
          <w:divBdr>
            <w:top w:val="none" w:sz="0" w:space="0" w:color="auto"/>
            <w:left w:val="none" w:sz="0" w:space="0" w:color="auto"/>
            <w:bottom w:val="none" w:sz="0" w:space="0" w:color="auto"/>
            <w:right w:val="none" w:sz="0" w:space="0" w:color="auto"/>
          </w:divBdr>
        </w:div>
        <w:div w:id="1696035197">
          <w:marLeft w:val="0"/>
          <w:marRight w:val="0"/>
          <w:marTop w:val="0"/>
          <w:marBottom w:val="0"/>
          <w:divBdr>
            <w:top w:val="none" w:sz="0" w:space="0" w:color="auto"/>
            <w:left w:val="none" w:sz="0" w:space="0" w:color="auto"/>
            <w:bottom w:val="none" w:sz="0" w:space="0" w:color="auto"/>
            <w:right w:val="none" w:sz="0" w:space="0" w:color="auto"/>
          </w:divBdr>
        </w:div>
        <w:div w:id="1801922131">
          <w:marLeft w:val="0"/>
          <w:marRight w:val="0"/>
          <w:marTop w:val="0"/>
          <w:marBottom w:val="0"/>
          <w:divBdr>
            <w:top w:val="none" w:sz="0" w:space="0" w:color="auto"/>
            <w:left w:val="none" w:sz="0" w:space="0" w:color="auto"/>
            <w:bottom w:val="none" w:sz="0" w:space="0" w:color="auto"/>
            <w:right w:val="none" w:sz="0" w:space="0" w:color="auto"/>
          </w:divBdr>
        </w:div>
        <w:div w:id="1811358701">
          <w:marLeft w:val="0"/>
          <w:marRight w:val="0"/>
          <w:marTop w:val="0"/>
          <w:marBottom w:val="0"/>
          <w:divBdr>
            <w:top w:val="none" w:sz="0" w:space="0" w:color="auto"/>
            <w:left w:val="none" w:sz="0" w:space="0" w:color="auto"/>
            <w:bottom w:val="none" w:sz="0" w:space="0" w:color="auto"/>
            <w:right w:val="none" w:sz="0" w:space="0" w:color="auto"/>
          </w:divBdr>
        </w:div>
        <w:div w:id="1815180606">
          <w:marLeft w:val="0"/>
          <w:marRight w:val="0"/>
          <w:marTop w:val="0"/>
          <w:marBottom w:val="0"/>
          <w:divBdr>
            <w:top w:val="none" w:sz="0" w:space="0" w:color="auto"/>
            <w:left w:val="none" w:sz="0" w:space="0" w:color="auto"/>
            <w:bottom w:val="none" w:sz="0" w:space="0" w:color="auto"/>
            <w:right w:val="none" w:sz="0" w:space="0" w:color="auto"/>
          </w:divBdr>
        </w:div>
        <w:div w:id="1884322665">
          <w:marLeft w:val="0"/>
          <w:marRight w:val="0"/>
          <w:marTop w:val="0"/>
          <w:marBottom w:val="0"/>
          <w:divBdr>
            <w:top w:val="none" w:sz="0" w:space="0" w:color="auto"/>
            <w:left w:val="none" w:sz="0" w:space="0" w:color="auto"/>
            <w:bottom w:val="none" w:sz="0" w:space="0" w:color="auto"/>
            <w:right w:val="none" w:sz="0" w:space="0" w:color="auto"/>
          </w:divBdr>
        </w:div>
        <w:div w:id="1897230428">
          <w:marLeft w:val="0"/>
          <w:marRight w:val="0"/>
          <w:marTop w:val="0"/>
          <w:marBottom w:val="0"/>
          <w:divBdr>
            <w:top w:val="none" w:sz="0" w:space="0" w:color="auto"/>
            <w:left w:val="none" w:sz="0" w:space="0" w:color="auto"/>
            <w:bottom w:val="none" w:sz="0" w:space="0" w:color="auto"/>
            <w:right w:val="none" w:sz="0" w:space="0" w:color="auto"/>
          </w:divBdr>
        </w:div>
        <w:div w:id="1919828445">
          <w:marLeft w:val="0"/>
          <w:marRight w:val="0"/>
          <w:marTop w:val="0"/>
          <w:marBottom w:val="0"/>
          <w:divBdr>
            <w:top w:val="none" w:sz="0" w:space="0" w:color="auto"/>
            <w:left w:val="none" w:sz="0" w:space="0" w:color="auto"/>
            <w:bottom w:val="none" w:sz="0" w:space="0" w:color="auto"/>
            <w:right w:val="none" w:sz="0" w:space="0" w:color="auto"/>
          </w:divBdr>
        </w:div>
        <w:div w:id="1935702024">
          <w:marLeft w:val="0"/>
          <w:marRight w:val="0"/>
          <w:marTop w:val="0"/>
          <w:marBottom w:val="0"/>
          <w:divBdr>
            <w:top w:val="none" w:sz="0" w:space="0" w:color="auto"/>
            <w:left w:val="none" w:sz="0" w:space="0" w:color="auto"/>
            <w:bottom w:val="none" w:sz="0" w:space="0" w:color="auto"/>
            <w:right w:val="none" w:sz="0" w:space="0" w:color="auto"/>
          </w:divBdr>
        </w:div>
        <w:div w:id="1991520920">
          <w:marLeft w:val="0"/>
          <w:marRight w:val="0"/>
          <w:marTop w:val="0"/>
          <w:marBottom w:val="0"/>
          <w:divBdr>
            <w:top w:val="none" w:sz="0" w:space="0" w:color="auto"/>
            <w:left w:val="none" w:sz="0" w:space="0" w:color="auto"/>
            <w:bottom w:val="none" w:sz="0" w:space="0" w:color="auto"/>
            <w:right w:val="none" w:sz="0" w:space="0" w:color="auto"/>
          </w:divBdr>
        </w:div>
        <w:div w:id="1996686974">
          <w:marLeft w:val="0"/>
          <w:marRight w:val="0"/>
          <w:marTop w:val="0"/>
          <w:marBottom w:val="0"/>
          <w:divBdr>
            <w:top w:val="none" w:sz="0" w:space="0" w:color="auto"/>
            <w:left w:val="none" w:sz="0" w:space="0" w:color="auto"/>
            <w:bottom w:val="none" w:sz="0" w:space="0" w:color="auto"/>
            <w:right w:val="none" w:sz="0" w:space="0" w:color="auto"/>
          </w:divBdr>
        </w:div>
        <w:div w:id="1997032936">
          <w:marLeft w:val="0"/>
          <w:marRight w:val="0"/>
          <w:marTop w:val="0"/>
          <w:marBottom w:val="0"/>
          <w:divBdr>
            <w:top w:val="none" w:sz="0" w:space="0" w:color="auto"/>
            <w:left w:val="none" w:sz="0" w:space="0" w:color="auto"/>
            <w:bottom w:val="none" w:sz="0" w:space="0" w:color="auto"/>
            <w:right w:val="none" w:sz="0" w:space="0" w:color="auto"/>
          </w:divBdr>
        </w:div>
        <w:div w:id="2002613721">
          <w:marLeft w:val="0"/>
          <w:marRight w:val="0"/>
          <w:marTop w:val="0"/>
          <w:marBottom w:val="0"/>
          <w:divBdr>
            <w:top w:val="none" w:sz="0" w:space="0" w:color="auto"/>
            <w:left w:val="none" w:sz="0" w:space="0" w:color="auto"/>
            <w:bottom w:val="none" w:sz="0" w:space="0" w:color="auto"/>
            <w:right w:val="none" w:sz="0" w:space="0" w:color="auto"/>
          </w:divBdr>
        </w:div>
        <w:div w:id="2051761203">
          <w:marLeft w:val="0"/>
          <w:marRight w:val="0"/>
          <w:marTop w:val="0"/>
          <w:marBottom w:val="0"/>
          <w:divBdr>
            <w:top w:val="none" w:sz="0" w:space="0" w:color="auto"/>
            <w:left w:val="none" w:sz="0" w:space="0" w:color="auto"/>
            <w:bottom w:val="none" w:sz="0" w:space="0" w:color="auto"/>
            <w:right w:val="none" w:sz="0" w:space="0" w:color="auto"/>
          </w:divBdr>
        </w:div>
        <w:div w:id="2070685415">
          <w:marLeft w:val="0"/>
          <w:marRight w:val="0"/>
          <w:marTop w:val="0"/>
          <w:marBottom w:val="0"/>
          <w:divBdr>
            <w:top w:val="none" w:sz="0" w:space="0" w:color="auto"/>
            <w:left w:val="none" w:sz="0" w:space="0" w:color="auto"/>
            <w:bottom w:val="none" w:sz="0" w:space="0" w:color="auto"/>
            <w:right w:val="none" w:sz="0" w:space="0" w:color="auto"/>
          </w:divBdr>
        </w:div>
        <w:div w:id="2099011934">
          <w:marLeft w:val="0"/>
          <w:marRight w:val="0"/>
          <w:marTop w:val="0"/>
          <w:marBottom w:val="0"/>
          <w:divBdr>
            <w:top w:val="none" w:sz="0" w:space="0" w:color="auto"/>
            <w:left w:val="none" w:sz="0" w:space="0" w:color="auto"/>
            <w:bottom w:val="none" w:sz="0" w:space="0" w:color="auto"/>
            <w:right w:val="none" w:sz="0" w:space="0" w:color="auto"/>
          </w:divBdr>
        </w:div>
        <w:div w:id="2110075679">
          <w:marLeft w:val="0"/>
          <w:marRight w:val="0"/>
          <w:marTop w:val="0"/>
          <w:marBottom w:val="0"/>
          <w:divBdr>
            <w:top w:val="none" w:sz="0" w:space="0" w:color="auto"/>
            <w:left w:val="none" w:sz="0" w:space="0" w:color="auto"/>
            <w:bottom w:val="none" w:sz="0" w:space="0" w:color="auto"/>
            <w:right w:val="none" w:sz="0" w:space="0" w:color="auto"/>
          </w:divBdr>
        </w:div>
        <w:div w:id="2115442647">
          <w:marLeft w:val="0"/>
          <w:marRight w:val="0"/>
          <w:marTop w:val="0"/>
          <w:marBottom w:val="0"/>
          <w:divBdr>
            <w:top w:val="none" w:sz="0" w:space="0" w:color="auto"/>
            <w:left w:val="none" w:sz="0" w:space="0" w:color="auto"/>
            <w:bottom w:val="none" w:sz="0" w:space="0" w:color="auto"/>
            <w:right w:val="none" w:sz="0" w:space="0" w:color="auto"/>
          </w:divBdr>
        </w:div>
        <w:div w:id="2140372482">
          <w:marLeft w:val="0"/>
          <w:marRight w:val="0"/>
          <w:marTop w:val="0"/>
          <w:marBottom w:val="0"/>
          <w:divBdr>
            <w:top w:val="none" w:sz="0" w:space="0" w:color="auto"/>
            <w:left w:val="none" w:sz="0" w:space="0" w:color="auto"/>
            <w:bottom w:val="none" w:sz="0" w:space="0" w:color="auto"/>
            <w:right w:val="none" w:sz="0" w:space="0" w:color="auto"/>
          </w:divBdr>
        </w:div>
      </w:divsChild>
    </w:div>
    <w:div w:id="1209807108">
      <w:bodyDiv w:val="1"/>
      <w:marLeft w:val="0"/>
      <w:marRight w:val="0"/>
      <w:marTop w:val="0"/>
      <w:marBottom w:val="0"/>
      <w:divBdr>
        <w:top w:val="none" w:sz="0" w:space="0" w:color="auto"/>
        <w:left w:val="none" w:sz="0" w:space="0" w:color="auto"/>
        <w:bottom w:val="none" w:sz="0" w:space="0" w:color="auto"/>
        <w:right w:val="none" w:sz="0" w:space="0" w:color="auto"/>
      </w:divBdr>
      <w:divsChild>
        <w:div w:id="1767192546">
          <w:marLeft w:val="0"/>
          <w:marRight w:val="0"/>
          <w:marTop w:val="0"/>
          <w:marBottom w:val="0"/>
          <w:divBdr>
            <w:top w:val="none" w:sz="0" w:space="0" w:color="auto"/>
            <w:left w:val="none" w:sz="0" w:space="0" w:color="auto"/>
            <w:bottom w:val="none" w:sz="0" w:space="0" w:color="auto"/>
            <w:right w:val="none" w:sz="0" w:space="0" w:color="auto"/>
          </w:divBdr>
        </w:div>
        <w:div w:id="1989896629">
          <w:marLeft w:val="0"/>
          <w:marRight w:val="0"/>
          <w:marTop w:val="0"/>
          <w:marBottom w:val="0"/>
          <w:divBdr>
            <w:top w:val="none" w:sz="0" w:space="0" w:color="auto"/>
            <w:left w:val="none" w:sz="0" w:space="0" w:color="auto"/>
            <w:bottom w:val="none" w:sz="0" w:space="0" w:color="auto"/>
            <w:right w:val="none" w:sz="0" w:space="0" w:color="auto"/>
          </w:divBdr>
        </w:div>
        <w:div w:id="2114662438">
          <w:marLeft w:val="0"/>
          <w:marRight w:val="0"/>
          <w:marTop w:val="0"/>
          <w:marBottom w:val="0"/>
          <w:divBdr>
            <w:top w:val="none" w:sz="0" w:space="0" w:color="auto"/>
            <w:left w:val="none" w:sz="0" w:space="0" w:color="auto"/>
            <w:bottom w:val="none" w:sz="0" w:space="0" w:color="auto"/>
            <w:right w:val="none" w:sz="0" w:space="0" w:color="auto"/>
          </w:divBdr>
        </w:div>
      </w:divsChild>
    </w:div>
    <w:div w:id="1211117290">
      <w:bodyDiv w:val="1"/>
      <w:marLeft w:val="0"/>
      <w:marRight w:val="0"/>
      <w:marTop w:val="0"/>
      <w:marBottom w:val="0"/>
      <w:divBdr>
        <w:top w:val="none" w:sz="0" w:space="0" w:color="auto"/>
        <w:left w:val="none" w:sz="0" w:space="0" w:color="auto"/>
        <w:bottom w:val="none" w:sz="0" w:space="0" w:color="auto"/>
        <w:right w:val="none" w:sz="0" w:space="0" w:color="auto"/>
      </w:divBdr>
    </w:div>
    <w:div w:id="1239825267">
      <w:bodyDiv w:val="1"/>
      <w:marLeft w:val="0"/>
      <w:marRight w:val="0"/>
      <w:marTop w:val="0"/>
      <w:marBottom w:val="0"/>
      <w:divBdr>
        <w:top w:val="none" w:sz="0" w:space="0" w:color="auto"/>
        <w:left w:val="none" w:sz="0" w:space="0" w:color="auto"/>
        <w:bottom w:val="none" w:sz="0" w:space="0" w:color="auto"/>
        <w:right w:val="none" w:sz="0" w:space="0" w:color="auto"/>
      </w:divBdr>
    </w:div>
    <w:div w:id="1467579474">
      <w:bodyDiv w:val="1"/>
      <w:marLeft w:val="0"/>
      <w:marRight w:val="0"/>
      <w:marTop w:val="0"/>
      <w:marBottom w:val="0"/>
      <w:divBdr>
        <w:top w:val="none" w:sz="0" w:space="0" w:color="auto"/>
        <w:left w:val="none" w:sz="0" w:space="0" w:color="auto"/>
        <w:bottom w:val="none" w:sz="0" w:space="0" w:color="auto"/>
        <w:right w:val="none" w:sz="0" w:space="0" w:color="auto"/>
      </w:divBdr>
      <w:divsChild>
        <w:div w:id="166679120">
          <w:marLeft w:val="0"/>
          <w:marRight w:val="0"/>
          <w:marTop w:val="0"/>
          <w:marBottom w:val="0"/>
          <w:divBdr>
            <w:top w:val="none" w:sz="0" w:space="0" w:color="auto"/>
            <w:left w:val="none" w:sz="0" w:space="0" w:color="auto"/>
            <w:bottom w:val="none" w:sz="0" w:space="0" w:color="auto"/>
            <w:right w:val="none" w:sz="0" w:space="0" w:color="auto"/>
          </w:divBdr>
        </w:div>
        <w:div w:id="335153715">
          <w:marLeft w:val="0"/>
          <w:marRight w:val="0"/>
          <w:marTop w:val="0"/>
          <w:marBottom w:val="0"/>
          <w:divBdr>
            <w:top w:val="none" w:sz="0" w:space="0" w:color="auto"/>
            <w:left w:val="none" w:sz="0" w:space="0" w:color="auto"/>
            <w:bottom w:val="none" w:sz="0" w:space="0" w:color="auto"/>
            <w:right w:val="none" w:sz="0" w:space="0" w:color="auto"/>
          </w:divBdr>
        </w:div>
        <w:div w:id="346251323">
          <w:marLeft w:val="0"/>
          <w:marRight w:val="0"/>
          <w:marTop w:val="0"/>
          <w:marBottom w:val="0"/>
          <w:divBdr>
            <w:top w:val="none" w:sz="0" w:space="0" w:color="auto"/>
            <w:left w:val="none" w:sz="0" w:space="0" w:color="auto"/>
            <w:bottom w:val="none" w:sz="0" w:space="0" w:color="auto"/>
            <w:right w:val="none" w:sz="0" w:space="0" w:color="auto"/>
          </w:divBdr>
        </w:div>
        <w:div w:id="450394582">
          <w:marLeft w:val="0"/>
          <w:marRight w:val="0"/>
          <w:marTop w:val="0"/>
          <w:marBottom w:val="0"/>
          <w:divBdr>
            <w:top w:val="none" w:sz="0" w:space="0" w:color="auto"/>
            <w:left w:val="none" w:sz="0" w:space="0" w:color="auto"/>
            <w:bottom w:val="none" w:sz="0" w:space="0" w:color="auto"/>
            <w:right w:val="none" w:sz="0" w:space="0" w:color="auto"/>
          </w:divBdr>
        </w:div>
        <w:div w:id="469246092">
          <w:marLeft w:val="0"/>
          <w:marRight w:val="0"/>
          <w:marTop w:val="0"/>
          <w:marBottom w:val="0"/>
          <w:divBdr>
            <w:top w:val="none" w:sz="0" w:space="0" w:color="auto"/>
            <w:left w:val="none" w:sz="0" w:space="0" w:color="auto"/>
            <w:bottom w:val="none" w:sz="0" w:space="0" w:color="auto"/>
            <w:right w:val="none" w:sz="0" w:space="0" w:color="auto"/>
          </w:divBdr>
        </w:div>
        <w:div w:id="518353754">
          <w:marLeft w:val="0"/>
          <w:marRight w:val="0"/>
          <w:marTop w:val="0"/>
          <w:marBottom w:val="0"/>
          <w:divBdr>
            <w:top w:val="none" w:sz="0" w:space="0" w:color="auto"/>
            <w:left w:val="none" w:sz="0" w:space="0" w:color="auto"/>
            <w:bottom w:val="none" w:sz="0" w:space="0" w:color="auto"/>
            <w:right w:val="none" w:sz="0" w:space="0" w:color="auto"/>
          </w:divBdr>
        </w:div>
        <w:div w:id="524683882">
          <w:marLeft w:val="0"/>
          <w:marRight w:val="0"/>
          <w:marTop w:val="0"/>
          <w:marBottom w:val="0"/>
          <w:divBdr>
            <w:top w:val="none" w:sz="0" w:space="0" w:color="auto"/>
            <w:left w:val="none" w:sz="0" w:space="0" w:color="auto"/>
            <w:bottom w:val="none" w:sz="0" w:space="0" w:color="auto"/>
            <w:right w:val="none" w:sz="0" w:space="0" w:color="auto"/>
          </w:divBdr>
        </w:div>
        <w:div w:id="700520095">
          <w:marLeft w:val="0"/>
          <w:marRight w:val="0"/>
          <w:marTop w:val="0"/>
          <w:marBottom w:val="0"/>
          <w:divBdr>
            <w:top w:val="none" w:sz="0" w:space="0" w:color="auto"/>
            <w:left w:val="none" w:sz="0" w:space="0" w:color="auto"/>
            <w:bottom w:val="none" w:sz="0" w:space="0" w:color="auto"/>
            <w:right w:val="none" w:sz="0" w:space="0" w:color="auto"/>
          </w:divBdr>
        </w:div>
        <w:div w:id="1031028494">
          <w:marLeft w:val="0"/>
          <w:marRight w:val="0"/>
          <w:marTop w:val="0"/>
          <w:marBottom w:val="0"/>
          <w:divBdr>
            <w:top w:val="none" w:sz="0" w:space="0" w:color="auto"/>
            <w:left w:val="none" w:sz="0" w:space="0" w:color="auto"/>
            <w:bottom w:val="none" w:sz="0" w:space="0" w:color="auto"/>
            <w:right w:val="none" w:sz="0" w:space="0" w:color="auto"/>
          </w:divBdr>
        </w:div>
        <w:div w:id="1048452291">
          <w:marLeft w:val="0"/>
          <w:marRight w:val="0"/>
          <w:marTop w:val="0"/>
          <w:marBottom w:val="0"/>
          <w:divBdr>
            <w:top w:val="none" w:sz="0" w:space="0" w:color="auto"/>
            <w:left w:val="none" w:sz="0" w:space="0" w:color="auto"/>
            <w:bottom w:val="none" w:sz="0" w:space="0" w:color="auto"/>
            <w:right w:val="none" w:sz="0" w:space="0" w:color="auto"/>
          </w:divBdr>
        </w:div>
        <w:div w:id="1124159301">
          <w:marLeft w:val="0"/>
          <w:marRight w:val="0"/>
          <w:marTop w:val="0"/>
          <w:marBottom w:val="0"/>
          <w:divBdr>
            <w:top w:val="none" w:sz="0" w:space="0" w:color="auto"/>
            <w:left w:val="none" w:sz="0" w:space="0" w:color="auto"/>
            <w:bottom w:val="none" w:sz="0" w:space="0" w:color="auto"/>
            <w:right w:val="none" w:sz="0" w:space="0" w:color="auto"/>
          </w:divBdr>
        </w:div>
        <w:div w:id="1627155808">
          <w:marLeft w:val="0"/>
          <w:marRight w:val="0"/>
          <w:marTop w:val="0"/>
          <w:marBottom w:val="0"/>
          <w:divBdr>
            <w:top w:val="none" w:sz="0" w:space="0" w:color="auto"/>
            <w:left w:val="none" w:sz="0" w:space="0" w:color="auto"/>
            <w:bottom w:val="none" w:sz="0" w:space="0" w:color="auto"/>
            <w:right w:val="none" w:sz="0" w:space="0" w:color="auto"/>
          </w:divBdr>
        </w:div>
        <w:div w:id="1687902400">
          <w:marLeft w:val="0"/>
          <w:marRight w:val="0"/>
          <w:marTop w:val="0"/>
          <w:marBottom w:val="0"/>
          <w:divBdr>
            <w:top w:val="none" w:sz="0" w:space="0" w:color="auto"/>
            <w:left w:val="none" w:sz="0" w:space="0" w:color="auto"/>
            <w:bottom w:val="none" w:sz="0" w:space="0" w:color="auto"/>
            <w:right w:val="none" w:sz="0" w:space="0" w:color="auto"/>
          </w:divBdr>
        </w:div>
        <w:div w:id="1744792605">
          <w:marLeft w:val="0"/>
          <w:marRight w:val="0"/>
          <w:marTop w:val="0"/>
          <w:marBottom w:val="0"/>
          <w:divBdr>
            <w:top w:val="none" w:sz="0" w:space="0" w:color="auto"/>
            <w:left w:val="none" w:sz="0" w:space="0" w:color="auto"/>
            <w:bottom w:val="none" w:sz="0" w:space="0" w:color="auto"/>
            <w:right w:val="none" w:sz="0" w:space="0" w:color="auto"/>
          </w:divBdr>
        </w:div>
        <w:div w:id="1951619486">
          <w:marLeft w:val="0"/>
          <w:marRight w:val="0"/>
          <w:marTop w:val="0"/>
          <w:marBottom w:val="0"/>
          <w:divBdr>
            <w:top w:val="none" w:sz="0" w:space="0" w:color="auto"/>
            <w:left w:val="none" w:sz="0" w:space="0" w:color="auto"/>
            <w:bottom w:val="none" w:sz="0" w:space="0" w:color="auto"/>
            <w:right w:val="none" w:sz="0" w:space="0" w:color="auto"/>
          </w:divBdr>
        </w:div>
        <w:div w:id="2120373896">
          <w:marLeft w:val="0"/>
          <w:marRight w:val="0"/>
          <w:marTop w:val="0"/>
          <w:marBottom w:val="0"/>
          <w:divBdr>
            <w:top w:val="none" w:sz="0" w:space="0" w:color="auto"/>
            <w:left w:val="none" w:sz="0" w:space="0" w:color="auto"/>
            <w:bottom w:val="none" w:sz="0" w:space="0" w:color="auto"/>
            <w:right w:val="none" w:sz="0" w:space="0" w:color="auto"/>
          </w:divBdr>
        </w:div>
      </w:divsChild>
    </w:div>
    <w:div w:id="1555922274">
      <w:bodyDiv w:val="1"/>
      <w:marLeft w:val="0"/>
      <w:marRight w:val="0"/>
      <w:marTop w:val="0"/>
      <w:marBottom w:val="0"/>
      <w:divBdr>
        <w:top w:val="none" w:sz="0" w:space="0" w:color="auto"/>
        <w:left w:val="none" w:sz="0" w:space="0" w:color="auto"/>
        <w:bottom w:val="none" w:sz="0" w:space="0" w:color="auto"/>
        <w:right w:val="none" w:sz="0" w:space="0" w:color="auto"/>
      </w:divBdr>
      <w:divsChild>
        <w:div w:id="700013873">
          <w:marLeft w:val="0"/>
          <w:marRight w:val="0"/>
          <w:marTop w:val="0"/>
          <w:marBottom w:val="0"/>
          <w:divBdr>
            <w:top w:val="none" w:sz="0" w:space="0" w:color="auto"/>
            <w:left w:val="none" w:sz="0" w:space="0" w:color="auto"/>
            <w:bottom w:val="none" w:sz="0" w:space="0" w:color="auto"/>
            <w:right w:val="none" w:sz="0" w:space="0" w:color="auto"/>
          </w:divBdr>
        </w:div>
        <w:div w:id="884294987">
          <w:marLeft w:val="0"/>
          <w:marRight w:val="0"/>
          <w:marTop w:val="0"/>
          <w:marBottom w:val="0"/>
          <w:divBdr>
            <w:top w:val="none" w:sz="0" w:space="0" w:color="auto"/>
            <w:left w:val="none" w:sz="0" w:space="0" w:color="auto"/>
            <w:bottom w:val="none" w:sz="0" w:space="0" w:color="auto"/>
            <w:right w:val="none" w:sz="0" w:space="0" w:color="auto"/>
          </w:divBdr>
        </w:div>
        <w:div w:id="1151943743">
          <w:marLeft w:val="0"/>
          <w:marRight w:val="0"/>
          <w:marTop w:val="0"/>
          <w:marBottom w:val="0"/>
          <w:divBdr>
            <w:top w:val="none" w:sz="0" w:space="0" w:color="auto"/>
            <w:left w:val="none" w:sz="0" w:space="0" w:color="auto"/>
            <w:bottom w:val="none" w:sz="0" w:space="0" w:color="auto"/>
            <w:right w:val="none" w:sz="0" w:space="0" w:color="auto"/>
          </w:divBdr>
        </w:div>
        <w:div w:id="1155493370">
          <w:marLeft w:val="0"/>
          <w:marRight w:val="0"/>
          <w:marTop w:val="0"/>
          <w:marBottom w:val="0"/>
          <w:divBdr>
            <w:top w:val="none" w:sz="0" w:space="0" w:color="auto"/>
            <w:left w:val="none" w:sz="0" w:space="0" w:color="auto"/>
            <w:bottom w:val="none" w:sz="0" w:space="0" w:color="auto"/>
            <w:right w:val="none" w:sz="0" w:space="0" w:color="auto"/>
          </w:divBdr>
        </w:div>
        <w:div w:id="1177186847">
          <w:marLeft w:val="0"/>
          <w:marRight w:val="0"/>
          <w:marTop w:val="0"/>
          <w:marBottom w:val="0"/>
          <w:divBdr>
            <w:top w:val="none" w:sz="0" w:space="0" w:color="auto"/>
            <w:left w:val="none" w:sz="0" w:space="0" w:color="auto"/>
            <w:bottom w:val="none" w:sz="0" w:space="0" w:color="auto"/>
            <w:right w:val="none" w:sz="0" w:space="0" w:color="auto"/>
          </w:divBdr>
        </w:div>
        <w:div w:id="1671130722">
          <w:marLeft w:val="0"/>
          <w:marRight w:val="0"/>
          <w:marTop w:val="0"/>
          <w:marBottom w:val="0"/>
          <w:divBdr>
            <w:top w:val="none" w:sz="0" w:space="0" w:color="auto"/>
            <w:left w:val="none" w:sz="0" w:space="0" w:color="auto"/>
            <w:bottom w:val="none" w:sz="0" w:space="0" w:color="auto"/>
            <w:right w:val="none" w:sz="0" w:space="0" w:color="auto"/>
          </w:divBdr>
        </w:div>
      </w:divsChild>
    </w:div>
    <w:div w:id="1591084098">
      <w:bodyDiv w:val="1"/>
      <w:marLeft w:val="0"/>
      <w:marRight w:val="0"/>
      <w:marTop w:val="0"/>
      <w:marBottom w:val="0"/>
      <w:divBdr>
        <w:top w:val="none" w:sz="0" w:space="0" w:color="auto"/>
        <w:left w:val="none" w:sz="0" w:space="0" w:color="auto"/>
        <w:bottom w:val="none" w:sz="0" w:space="0" w:color="auto"/>
        <w:right w:val="none" w:sz="0" w:space="0" w:color="auto"/>
      </w:divBdr>
      <w:divsChild>
        <w:div w:id="1231888422">
          <w:marLeft w:val="0"/>
          <w:marRight w:val="0"/>
          <w:marTop w:val="0"/>
          <w:marBottom w:val="0"/>
          <w:divBdr>
            <w:top w:val="none" w:sz="0" w:space="0" w:color="auto"/>
            <w:left w:val="none" w:sz="0" w:space="0" w:color="auto"/>
            <w:bottom w:val="none" w:sz="0" w:space="0" w:color="auto"/>
            <w:right w:val="none" w:sz="0" w:space="0" w:color="auto"/>
          </w:divBdr>
        </w:div>
        <w:div w:id="2024284311">
          <w:marLeft w:val="0"/>
          <w:marRight w:val="0"/>
          <w:marTop w:val="0"/>
          <w:marBottom w:val="0"/>
          <w:divBdr>
            <w:top w:val="none" w:sz="0" w:space="0" w:color="auto"/>
            <w:left w:val="none" w:sz="0" w:space="0" w:color="auto"/>
            <w:bottom w:val="none" w:sz="0" w:space="0" w:color="auto"/>
            <w:right w:val="none" w:sz="0" w:space="0" w:color="auto"/>
          </w:divBdr>
        </w:div>
      </w:divsChild>
    </w:div>
    <w:div w:id="1594584392">
      <w:bodyDiv w:val="1"/>
      <w:marLeft w:val="0"/>
      <w:marRight w:val="0"/>
      <w:marTop w:val="0"/>
      <w:marBottom w:val="0"/>
      <w:divBdr>
        <w:top w:val="none" w:sz="0" w:space="0" w:color="auto"/>
        <w:left w:val="none" w:sz="0" w:space="0" w:color="auto"/>
        <w:bottom w:val="none" w:sz="0" w:space="0" w:color="auto"/>
        <w:right w:val="none" w:sz="0" w:space="0" w:color="auto"/>
      </w:divBdr>
    </w:div>
    <w:div w:id="1610696306">
      <w:bodyDiv w:val="1"/>
      <w:marLeft w:val="0"/>
      <w:marRight w:val="0"/>
      <w:marTop w:val="0"/>
      <w:marBottom w:val="0"/>
      <w:divBdr>
        <w:top w:val="none" w:sz="0" w:space="0" w:color="auto"/>
        <w:left w:val="none" w:sz="0" w:space="0" w:color="auto"/>
        <w:bottom w:val="none" w:sz="0" w:space="0" w:color="auto"/>
        <w:right w:val="none" w:sz="0" w:space="0" w:color="auto"/>
      </w:divBdr>
      <w:divsChild>
        <w:div w:id="1930390031">
          <w:marLeft w:val="0"/>
          <w:marRight w:val="0"/>
          <w:marTop w:val="0"/>
          <w:marBottom w:val="0"/>
          <w:divBdr>
            <w:top w:val="none" w:sz="0" w:space="0" w:color="auto"/>
            <w:left w:val="none" w:sz="0" w:space="0" w:color="auto"/>
            <w:bottom w:val="none" w:sz="0" w:space="0" w:color="auto"/>
            <w:right w:val="none" w:sz="0" w:space="0" w:color="auto"/>
          </w:divBdr>
        </w:div>
        <w:div w:id="1739160305">
          <w:marLeft w:val="0"/>
          <w:marRight w:val="0"/>
          <w:marTop w:val="0"/>
          <w:marBottom w:val="0"/>
          <w:divBdr>
            <w:top w:val="none" w:sz="0" w:space="0" w:color="auto"/>
            <w:left w:val="none" w:sz="0" w:space="0" w:color="auto"/>
            <w:bottom w:val="none" w:sz="0" w:space="0" w:color="auto"/>
            <w:right w:val="none" w:sz="0" w:space="0" w:color="auto"/>
          </w:divBdr>
        </w:div>
        <w:div w:id="780958298">
          <w:marLeft w:val="0"/>
          <w:marRight w:val="0"/>
          <w:marTop w:val="0"/>
          <w:marBottom w:val="0"/>
          <w:divBdr>
            <w:top w:val="none" w:sz="0" w:space="0" w:color="auto"/>
            <w:left w:val="none" w:sz="0" w:space="0" w:color="auto"/>
            <w:bottom w:val="none" w:sz="0" w:space="0" w:color="auto"/>
            <w:right w:val="none" w:sz="0" w:space="0" w:color="auto"/>
          </w:divBdr>
        </w:div>
        <w:div w:id="54472869">
          <w:marLeft w:val="0"/>
          <w:marRight w:val="0"/>
          <w:marTop w:val="0"/>
          <w:marBottom w:val="0"/>
          <w:divBdr>
            <w:top w:val="none" w:sz="0" w:space="0" w:color="auto"/>
            <w:left w:val="none" w:sz="0" w:space="0" w:color="auto"/>
            <w:bottom w:val="none" w:sz="0" w:space="0" w:color="auto"/>
            <w:right w:val="none" w:sz="0" w:space="0" w:color="auto"/>
          </w:divBdr>
        </w:div>
        <w:div w:id="883176065">
          <w:marLeft w:val="0"/>
          <w:marRight w:val="0"/>
          <w:marTop w:val="0"/>
          <w:marBottom w:val="0"/>
          <w:divBdr>
            <w:top w:val="none" w:sz="0" w:space="0" w:color="auto"/>
            <w:left w:val="none" w:sz="0" w:space="0" w:color="auto"/>
            <w:bottom w:val="none" w:sz="0" w:space="0" w:color="auto"/>
            <w:right w:val="none" w:sz="0" w:space="0" w:color="auto"/>
          </w:divBdr>
        </w:div>
        <w:div w:id="376860441">
          <w:marLeft w:val="0"/>
          <w:marRight w:val="0"/>
          <w:marTop w:val="0"/>
          <w:marBottom w:val="0"/>
          <w:divBdr>
            <w:top w:val="none" w:sz="0" w:space="0" w:color="auto"/>
            <w:left w:val="none" w:sz="0" w:space="0" w:color="auto"/>
            <w:bottom w:val="none" w:sz="0" w:space="0" w:color="auto"/>
            <w:right w:val="none" w:sz="0" w:space="0" w:color="auto"/>
          </w:divBdr>
        </w:div>
        <w:div w:id="840851940">
          <w:marLeft w:val="0"/>
          <w:marRight w:val="0"/>
          <w:marTop w:val="0"/>
          <w:marBottom w:val="0"/>
          <w:divBdr>
            <w:top w:val="none" w:sz="0" w:space="0" w:color="auto"/>
            <w:left w:val="none" w:sz="0" w:space="0" w:color="auto"/>
            <w:bottom w:val="none" w:sz="0" w:space="0" w:color="auto"/>
            <w:right w:val="none" w:sz="0" w:space="0" w:color="auto"/>
          </w:divBdr>
        </w:div>
        <w:div w:id="142311275">
          <w:marLeft w:val="0"/>
          <w:marRight w:val="0"/>
          <w:marTop w:val="0"/>
          <w:marBottom w:val="0"/>
          <w:divBdr>
            <w:top w:val="none" w:sz="0" w:space="0" w:color="auto"/>
            <w:left w:val="none" w:sz="0" w:space="0" w:color="auto"/>
            <w:bottom w:val="none" w:sz="0" w:space="0" w:color="auto"/>
            <w:right w:val="none" w:sz="0" w:space="0" w:color="auto"/>
          </w:divBdr>
        </w:div>
        <w:div w:id="1379627984">
          <w:marLeft w:val="0"/>
          <w:marRight w:val="0"/>
          <w:marTop w:val="0"/>
          <w:marBottom w:val="0"/>
          <w:divBdr>
            <w:top w:val="none" w:sz="0" w:space="0" w:color="auto"/>
            <w:left w:val="none" w:sz="0" w:space="0" w:color="auto"/>
            <w:bottom w:val="none" w:sz="0" w:space="0" w:color="auto"/>
            <w:right w:val="none" w:sz="0" w:space="0" w:color="auto"/>
          </w:divBdr>
        </w:div>
        <w:div w:id="545487355">
          <w:marLeft w:val="0"/>
          <w:marRight w:val="0"/>
          <w:marTop w:val="0"/>
          <w:marBottom w:val="0"/>
          <w:divBdr>
            <w:top w:val="none" w:sz="0" w:space="0" w:color="auto"/>
            <w:left w:val="none" w:sz="0" w:space="0" w:color="auto"/>
            <w:bottom w:val="none" w:sz="0" w:space="0" w:color="auto"/>
            <w:right w:val="none" w:sz="0" w:space="0" w:color="auto"/>
          </w:divBdr>
        </w:div>
        <w:div w:id="1114790090">
          <w:marLeft w:val="0"/>
          <w:marRight w:val="0"/>
          <w:marTop w:val="0"/>
          <w:marBottom w:val="0"/>
          <w:divBdr>
            <w:top w:val="none" w:sz="0" w:space="0" w:color="auto"/>
            <w:left w:val="none" w:sz="0" w:space="0" w:color="auto"/>
            <w:bottom w:val="none" w:sz="0" w:space="0" w:color="auto"/>
            <w:right w:val="none" w:sz="0" w:space="0" w:color="auto"/>
          </w:divBdr>
        </w:div>
        <w:div w:id="1805194393">
          <w:marLeft w:val="0"/>
          <w:marRight w:val="0"/>
          <w:marTop w:val="0"/>
          <w:marBottom w:val="0"/>
          <w:divBdr>
            <w:top w:val="none" w:sz="0" w:space="0" w:color="auto"/>
            <w:left w:val="none" w:sz="0" w:space="0" w:color="auto"/>
            <w:bottom w:val="none" w:sz="0" w:space="0" w:color="auto"/>
            <w:right w:val="none" w:sz="0" w:space="0" w:color="auto"/>
          </w:divBdr>
        </w:div>
        <w:div w:id="952177154">
          <w:marLeft w:val="0"/>
          <w:marRight w:val="0"/>
          <w:marTop w:val="0"/>
          <w:marBottom w:val="0"/>
          <w:divBdr>
            <w:top w:val="none" w:sz="0" w:space="0" w:color="auto"/>
            <w:left w:val="none" w:sz="0" w:space="0" w:color="auto"/>
            <w:bottom w:val="none" w:sz="0" w:space="0" w:color="auto"/>
            <w:right w:val="none" w:sz="0" w:space="0" w:color="auto"/>
          </w:divBdr>
        </w:div>
        <w:div w:id="1371806700">
          <w:marLeft w:val="0"/>
          <w:marRight w:val="0"/>
          <w:marTop w:val="0"/>
          <w:marBottom w:val="0"/>
          <w:divBdr>
            <w:top w:val="none" w:sz="0" w:space="0" w:color="auto"/>
            <w:left w:val="none" w:sz="0" w:space="0" w:color="auto"/>
            <w:bottom w:val="none" w:sz="0" w:space="0" w:color="auto"/>
            <w:right w:val="none" w:sz="0" w:space="0" w:color="auto"/>
          </w:divBdr>
        </w:div>
        <w:div w:id="1059477357">
          <w:marLeft w:val="0"/>
          <w:marRight w:val="0"/>
          <w:marTop w:val="0"/>
          <w:marBottom w:val="0"/>
          <w:divBdr>
            <w:top w:val="none" w:sz="0" w:space="0" w:color="auto"/>
            <w:left w:val="none" w:sz="0" w:space="0" w:color="auto"/>
            <w:bottom w:val="none" w:sz="0" w:space="0" w:color="auto"/>
            <w:right w:val="none" w:sz="0" w:space="0" w:color="auto"/>
          </w:divBdr>
        </w:div>
        <w:div w:id="39860918">
          <w:marLeft w:val="0"/>
          <w:marRight w:val="0"/>
          <w:marTop w:val="0"/>
          <w:marBottom w:val="0"/>
          <w:divBdr>
            <w:top w:val="none" w:sz="0" w:space="0" w:color="auto"/>
            <w:left w:val="none" w:sz="0" w:space="0" w:color="auto"/>
            <w:bottom w:val="none" w:sz="0" w:space="0" w:color="auto"/>
            <w:right w:val="none" w:sz="0" w:space="0" w:color="auto"/>
          </w:divBdr>
        </w:div>
      </w:divsChild>
    </w:div>
    <w:div w:id="1629896413">
      <w:bodyDiv w:val="1"/>
      <w:marLeft w:val="0"/>
      <w:marRight w:val="0"/>
      <w:marTop w:val="0"/>
      <w:marBottom w:val="0"/>
      <w:divBdr>
        <w:top w:val="none" w:sz="0" w:space="0" w:color="auto"/>
        <w:left w:val="none" w:sz="0" w:space="0" w:color="auto"/>
        <w:bottom w:val="none" w:sz="0" w:space="0" w:color="auto"/>
        <w:right w:val="none" w:sz="0" w:space="0" w:color="auto"/>
      </w:divBdr>
      <w:divsChild>
        <w:div w:id="101343332">
          <w:marLeft w:val="0"/>
          <w:marRight w:val="0"/>
          <w:marTop w:val="0"/>
          <w:marBottom w:val="0"/>
          <w:divBdr>
            <w:top w:val="none" w:sz="0" w:space="0" w:color="auto"/>
            <w:left w:val="none" w:sz="0" w:space="0" w:color="auto"/>
            <w:bottom w:val="none" w:sz="0" w:space="0" w:color="auto"/>
            <w:right w:val="none" w:sz="0" w:space="0" w:color="auto"/>
          </w:divBdr>
        </w:div>
        <w:div w:id="363293458">
          <w:marLeft w:val="0"/>
          <w:marRight w:val="0"/>
          <w:marTop w:val="0"/>
          <w:marBottom w:val="0"/>
          <w:divBdr>
            <w:top w:val="none" w:sz="0" w:space="0" w:color="auto"/>
            <w:left w:val="none" w:sz="0" w:space="0" w:color="auto"/>
            <w:bottom w:val="none" w:sz="0" w:space="0" w:color="auto"/>
            <w:right w:val="none" w:sz="0" w:space="0" w:color="auto"/>
          </w:divBdr>
        </w:div>
        <w:div w:id="1215972109">
          <w:marLeft w:val="0"/>
          <w:marRight w:val="0"/>
          <w:marTop w:val="0"/>
          <w:marBottom w:val="0"/>
          <w:divBdr>
            <w:top w:val="none" w:sz="0" w:space="0" w:color="auto"/>
            <w:left w:val="none" w:sz="0" w:space="0" w:color="auto"/>
            <w:bottom w:val="none" w:sz="0" w:space="0" w:color="auto"/>
            <w:right w:val="none" w:sz="0" w:space="0" w:color="auto"/>
          </w:divBdr>
        </w:div>
        <w:div w:id="1676153433">
          <w:marLeft w:val="0"/>
          <w:marRight w:val="0"/>
          <w:marTop w:val="0"/>
          <w:marBottom w:val="0"/>
          <w:divBdr>
            <w:top w:val="none" w:sz="0" w:space="0" w:color="auto"/>
            <w:left w:val="none" w:sz="0" w:space="0" w:color="auto"/>
            <w:bottom w:val="none" w:sz="0" w:space="0" w:color="auto"/>
            <w:right w:val="none" w:sz="0" w:space="0" w:color="auto"/>
          </w:divBdr>
        </w:div>
        <w:div w:id="1899585730">
          <w:marLeft w:val="0"/>
          <w:marRight w:val="0"/>
          <w:marTop w:val="0"/>
          <w:marBottom w:val="0"/>
          <w:divBdr>
            <w:top w:val="none" w:sz="0" w:space="0" w:color="auto"/>
            <w:left w:val="none" w:sz="0" w:space="0" w:color="auto"/>
            <w:bottom w:val="none" w:sz="0" w:space="0" w:color="auto"/>
            <w:right w:val="none" w:sz="0" w:space="0" w:color="auto"/>
          </w:divBdr>
        </w:div>
        <w:div w:id="2043360522">
          <w:marLeft w:val="0"/>
          <w:marRight w:val="0"/>
          <w:marTop w:val="0"/>
          <w:marBottom w:val="0"/>
          <w:divBdr>
            <w:top w:val="none" w:sz="0" w:space="0" w:color="auto"/>
            <w:left w:val="none" w:sz="0" w:space="0" w:color="auto"/>
            <w:bottom w:val="none" w:sz="0" w:space="0" w:color="auto"/>
            <w:right w:val="none" w:sz="0" w:space="0" w:color="auto"/>
          </w:divBdr>
        </w:div>
      </w:divsChild>
    </w:div>
    <w:div w:id="1657150389">
      <w:bodyDiv w:val="1"/>
      <w:marLeft w:val="0"/>
      <w:marRight w:val="0"/>
      <w:marTop w:val="0"/>
      <w:marBottom w:val="0"/>
      <w:divBdr>
        <w:top w:val="none" w:sz="0" w:space="0" w:color="auto"/>
        <w:left w:val="none" w:sz="0" w:space="0" w:color="auto"/>
        <w:bottom w:val="none" w:sz="0" w:space="0" w:color="auto"/>
        <w:right w:val="none" w:sz="0" w:space="0" w:color="auto"/>
      </w:divBdr>
      <w:divsChild>
        <w:div w:id="141967033">
          <w:marLeft w:val="0"/>
          <w:marRight w:val="0"/>
          <w:marTop w:val="0"/>
          <w:marBottom w:val="0"/>
          <w:divBdr>
            <w:top w:val="none" w:sz="0" w:space="0" w:color="auto"/>
            <w:left w:val="none" w:sz="0" w:space="0" w:color="auto"/>
            <w:bottom w:val="none" w:sz="0" w:space="0" w:color="auto"/>
            <w:right w:val="none" w:sz="0" w:space="0" w:color="auto"/>
          </w:divBdr>
        </w:div>
        <w:div w:id="214704465">
          <w:marLeft w:val="0"/>
          <w:marRight w:val="0"/>
          <w:marTop w:val="0"/>
          <w:marBottom w:val="0"/>
          <w:divBdr>
            <w:top w:val="none" w:sz="0" w:space="0" w:color="auto"/>
            <w:left w:val="none" w:sz="0" w:space="0" w:color="auto"/>
            <w:bottom w:val="none" w:sz="0" w:space="0" w:color="auto"/>
            <w:right w:val="none" w:sz="0" w:space="0" w:color="auto"/>
          </w:divBdr>
        </w:div>
        <w:div w:id="260071211">
          <w:marLeft w:val="0"/>
          <w:marRight w:val="0"/>
          <w:marTop w:val="0"/>
          <w:marBottom w:val="0"/>
          <w:divBdr>
            <w:top w:val="none" w:sz="0" w:space="0" w:color="auto"/>
            <w:left w:val="none" w:sz="0" w:space="0" w:color="auto"/>
            <w:bottom w:val="none" w:sz="0" w:space="0" w:color="auto"/>
            <w:right w:val="none" w:sz="0" w:space="0" w:color="auto"/>
          </w:divBdr>
        </w:div>
        <w:div w:id="371882346">
          <w:marLeft w:val="0"/>
          <w:marRight w:val="0"/>
          <w:marTop w:val="0"/>
          <w:marBottom w:val="0"/>
          <w:divBdr>
            <w:top w:val="none" w:sz="0" w:space="0" w:color="auto"/>
            <w:left w:val="none" w:sz="0" w:space="0" w:color="auto"/>
            <w:bottom w:val="none" w:sz="0" w:space="0" w:color="auto"/>
            <w:right w:val="none" w:sz="0" w:space="0" w:color="auto"/>
          </w:divBdr>
        </w:div>
        <w:div w:id="416246870">
          <w:marLeft w:val="0"/>
          <w:marRight w:val="0"/>
          <w:marTop w:val="0"/>
          <w:marBottom w:val="0"/>
          <w:divBdr>
            <w:top w:val="none" w:sz="0" w:space="0" w:color="auto"/>
            <w:left w:val="none" w:sz="0" w:space="0" w:color="auto"/>
            <w:bottom w:val="none" w:sz="0" w:space="0" w:color="auto"/>
            <w:right w:val="none" w:sz="0" w:space="0" w:color="auto"/>
          </w:divBdr>
        </w:div>
        <w:div w:id="518588690">
          <w:marLeft w:val="0"/>
          <w:marRight w:val="0"/>
          <w:marTop w:val="0"/>
          <w:marBottom w:val="0"/>
          <w:divBdr>
            <w:top w:val="none" w:sz="0" w:space="0" w:color="auto"/>
            <w:left w:val="none" w:sz="0" w:space="0" w:color="auto"/>
            <w:bottom w:val="none" w:sz="0" w:space="0" w:color="auto"/>
            <w:right w:val="none" w:sz="0" w:space="0" w:color="auto"/>
          </w:divBdr>
        </w:div>
        <w:div w:id="605619589">
          <w:marLeft w:val="0"/>
          <w:marRight w:val="0"/>
          <w:marTop w:val="0"/>
          <w:marBottom w:val="0"/>
          <w:divBdr>
            <w:top w:val="none" w:sz="0" w:space="0" w:color="auto"/>
            <w:left w:val="none" w:sz="0" w:space="0" w:color="auto"/>
            <w:bottom w:val="none" w:sz="0" w:space="0" w:color="auto"/>
            <w:right w:val="none" w:sz="0" w:space="0" w:color="auto"/>
          </w:divBdr>
        </w:div>
        <w:div w:id="976103756">
          <w:marLeft w:val="0"/>
          <w:marRight w:val="0"/>
          <w:marTop w:val="0"/>
          <w:marBottom w:val="0"/>
          <w:divBdr>
            <w:top w:val="none" w:sz="0" w:space="0" w:color="auto"/>
            <w:left w:val="none" w:sz="0" w:space="0" w:color="auto"/>
            <w:bottom w:val="none" w:sz="0" w:space="0" w:color="auto"/>
            <w:right w:val="none" w:sz="0" w:space="0" w:color="auto"/>
          </w:divBdr>
        </w:div>
        <w:div w:id="1158569841">
          <w:marLeft w:val="0"/>
          <w:marRight w:val="0"/>
          <w:marTop w:val="0"/>
          <w:marBottom w:val="0"/>
          <w:divBdr>
            <w:top w:val="none" w:sz="0" w:space="0" w:color="auto"/>
            <w:left w:val="none" w:sz="0" w:space="0" w:color="auto"/>
            <w:bottom w:val="none" w:sz="0" w:space="0" w:color="auto"/>
            <w:right w:val="none" w:sz="0" w:space="0" w:color="auto"/>
          </w:divBdr>
        </w:div>
        <w:div w:id="1366558257">
          <w:marLeft w:val="0"/>
          <w:marRight w:val="0"/>
          <w:marTop w:val="0"/>
          <w:marBottom w:val="0"/>
          <w:divBdr>
            <w:top w:val="none" w:sz="0" w:space="0" w:color="auto"/>
            <w:left w:val="none" w:sz="0" w:space="0" w:color="auto"/>
            <w:bottom w:val="none" w:sz="0" w:space="0" w:color="auto"/>
            <w:right w:val="none" w:sz="0" w:space="0" w:color="auto"/>
          </w:divBdr>
        </w:div>
        <w:div w:id="1450667412">
          <w:marLeft w:val="0"/>
          <w:marRight w:val="0"/>
          <w:marTop w:val="0"/>
          <w:marBottom w:val="0"/>
          <w:divBdr>
            <w:top w:val="none" w:sz="0" w:space="0" w:color="auto"/>
            <w:left w:val="none" w:sz="0" w:space="0" w:color="auto"/>
            <w:bottom w:val="none" w:sz="0" w:space="0" w:color="auto"/>
            <w:right w:val="none" w:sz="0" w:space="0" w:color="auto"/>
          </w:divBdr>
        </w:div>
        <w:div w:id="1461192219">
          <w:marLeft w:val="0"/>
          <w:marRight w:val="0"/>
          <w:marTop w:val="0"/>
          <w:marBottom w:val="0"/>
          <w:divBdr>
            <w:top w:val="none" w:sz="0" w:space="0" w:color="auto"/>
            <w:left w:val="none" w:sz="0" w:space="0" w:color="auto"/>
            <w:bottom w:val="none" w:sz="0" w:space="0" w:color="auto"/>
            <w:right w:val="none" w:sz="0" w:space="0" w:color="auto"/>
          </w:divBdr>
        </w:div>
        <w:div w:id="1908228705">
          <w:marLeft w:val="0"/>
          <w:marRight w:val="0"/>
          <w:marTop w:val="0"/>
          <w:marBottom w:val="0"/>
          <w:divBdr>
            <w:top w:val="none" w:sz="0" w:space="0" w:color="auto"/>
            <w:left w:val="none" w:sz="0" w:space="0" w:color="auto"/>
            <w:bottom w:val="none" w:sz="0" w:space="0" w:color="auto"/>
            <w:right w:val="none" w:sz="0" w:space="0" w:color="auto"/>
          </w:divBdr>
        </w:div>
      </w:divsChild>
    </w:div>
    <w:div w:id="1664890444">
      <w:bodyDiv w:val="1"/>
      <w:marLeft w:val="0"/>
      <w:marRight w:val="0"/>
      <w:marTop w:val="0"/>
      <w:marBottom w:val="0"/>
      <w:divBdr>
        <w:top w:val="none" w:sz="0" w:space="0" w:color="auto"/>
        <w:left w:val="none" w:sz="0" w:space="0" w:color="auto"/>
        <w:bottom w:val="none" w:sz="0" w:space="0" w:color="auto"/>
        <w:right w:val="none" w:sz="0" w:space="0" w:color="auto"/>
      </w:divBdr>
      <w:divsChild>
        <w:div w:id="129518050">
          <w:marLeft w:val="0"/>
          <w:marRight w:val="0"/>
          <w:marTop w:val="0"/>
          <w:marBottom w:val="0"/>
          <w:divBdr>
            <w:top w:val="none" w:sz="0" w:space="0" w:color="auto"/>
            <w:left w:val="none" w:sz="0" w:space="0" w:color="auto"/>
            <w:bottom w:val="none" w:sz="0" w:space="0" w:color="auto"/>
            <w:right w:val="none" w:sz="0" w:space="0" w:color="auto"/>
          </w:divBdr>
        </w:div>
        <w:div w:id="146559534">
          <w:marLeft w:val="0"/>
          <w:marRight w:val="0"/>
          <w:marTop w:val="0"/>
          <w:marBottom w:val="0"/>
          <w:divBdr>
            <w:top w:val="none" w:sz="0" w:space="0" w:color="auto"/>
            <w:left w:val="none" w:sz="0" w:space="0" w:color="auto"/>
            <w:bottom w:val="none" w:sz="0" w:space="0" w:color="auto"/>
            <w:right w:val="none" w:sz="0" w:space="0" w:color="auto"/>
          </w:divBdr>
        </w:div>
        <w:div w:id="1607149657">
          <w:marLeft w:val="0"/>
          <w:marRight w:val="0"/>
          <w:marTop w:val="0"/>
          <w:marBottom w:val="0"/>
          <w:divBdr>
            <w:top w:val="none" w:sz="0" w:space="0" w:color="auto"/>
            <w:left w:val="none" w:sz="0" w:space="0" w:color="auto"/>
            <w:bottom w:val="none" w:sz="0" w:space="0" w:color="auto"/>
            <w:right w:val="none" w:sz="0" w:space="0" w:color="auto"/>
          </w:divBdr>
        </w:div>
        <w:div w:id="1794975889">
          <w:marLeft w:val="0"/>
          <w:marRight w:val="0"/>
          <w:marTop w:val="0"/>
          <w:marBottom w:val="0"/>
          <w:divBdr>
            <w:top w:val="none" w:sz="0" w:space="0" w:color="auto"/>
            <w:left w:val="none" w:sz="0" w:space="0" w:color="auto"/>
            <w:bottom w:val="none" w:sz="0" w:space="0" w:color="auto"/>
            <w:right w:val="none" w:sz="0" w:space="0" w:color="auto"/>
          </w:divBdr>
        </w:div>
      </w:divsChild>
    </w:div>
    <w:div w:id="1696536939">
      <w:bodyDiv w:val="1"/>
      <w:marLeft w:val="0"/>
      <w:marRight w:val="0"/>
      <w:marTop w:val="0"/>
      <w:marBottom w:val="0"/>
      <w:divBdr>
        <w:top w:val="none" w:sz="0" w:space="0" w:color="auto"/>
        <w:left w:val="none" w:sz="0" w:space="0" w:color="auto"/>
        <w:bottom w:val="none" w:sz="0" w:space="0" w:color="auto"/>
        <w:right w:val="none" w:sz="0" w:space="0" w:color="auto"/>
      </w:divBdr>
      <w:divsChild>
        <w:div w:id="82802563">
          <w:marLeft w:val="0"/>
          <w:marRight w:val="0"/>
          <w:marTop w:val="0"/>
          <w:marBottom w:val="0"/>
          <w:divBdr>
            <w:top w:val="none" w:sz="0" w:space="0" w:color="auto"/>
            <w:left w:val="none" w:sz="0" w:space="0" w:color="auto"/>
            <w:bottom w:val="none" w:sz="0" w:space="0" w:color="auto"/>
            <w:right w:val="none" w:sz="0" w:space="0" w:color="auto"/>
          </w:divBdr>
        </w:div>
        <w:div w:id="2069302075">
          <w:marLeft w:val="0"/>
          <w:marRight w:val="0"/>
          <w:marTop w:val="0"/>
          <w:marBottom w:val="0"/>
          <w:divBdr>
            <w:top w:val="none" w:sz="0" w:space="0" w:color="auto"/>
            <w:left w:val="none" w:sz="0" w:space="0" w:color="auto"/>
            <w:bottom w:val="none" w:sz="0" w:space="0" w:color="auto"/>
            <w:right w:val="none" w:sz="0" w:space="0" w:color="auto"/>
          </w:divBdr>
        </w:div>
        <w:div w:id="1402361926">
          <w:marLeft w:val="0"/>
          <w:marRight w:val="0"/>
          <w:marTop w:val="0"/>
          <w:marBottom w:val="0"/>
          <w:divBdr>
            <w:top w:val="none" w:sz="0" w:space="0" w:color="auto"/>
            <w:left w:val="none" w:sz="0" w:space="0" w:color="auto"/>
            <w:bottom w:val="none" w:sz="0" w:space="0" w:color="auto"/>
            <w:right w:val="none" w:sz="0" w:space="0" w:color="auto"/>
          </w:divBdr>
        </w:div>
        <w:div w:id="362295305">
          <w:marLeft w:val="0"/>
          <w:marRight w:val="0"/>
          <w:marTop w:val="0"/>
          <w:marBottom w:val="0"/>
          <w:divBdr>
            <w:top w:val="none" w:sz="0" w:space="0" w:color="auto"/>
            <w:left w:val="none" w:sz="0" w:space="0" w:color="auto"/>
            <w:bottom w:val="none" w:sz="0" w:space="0" w:color="auto"/>
            <w:right w:val="none" w:sz="0" w:space="0" w:color="auto"/>
          </w:divBdr>
        </w:div>
      </w:divsChild>
    </w:div>
    <w:div w:id="1737429788">
      <w:bodyDiv w:val="1"/>
      <w:marLeft w:val="0"/>
      <w:marRight w:val="0"/>
      <w:marTop w:val="0"/>
      <w:marBottom w:val="0"/>
      <w:divBdr>
        <w:top w:val="none" w:sz="0" w:space="0" w:color="auto"/>
        <w:left w:val="none" w:sz="0" w:space="0" w:color="auto"/>
        <w:bottom w:val="none" w:sz="0" w:space="0" w:color="auto"/>
        <w:right w:val="none" w:sz="0" w:space="0" w:color="auto"/>
      </w:divBdr>
    </w:div>
    <w:div w:id="1826697319">
      <w:bodyDiv w:val="1"/>
      <w:marLeft w:val="0"/>
      <w:marRight w:val="0"/>
      <w:marTop w:val="0"/>
      <w:marBottom w:val="0"/>
      <w:divBdr>
        <w:top w:val="none" w:sz="0" w:space="0" w:color="auto"/>
        <w:left w:val="none" w:sz="0" w:space="0" w:color="auto"/>
        <w:bottom w:val="none" w:sz="0" w:space="0" w:color="auto"/>
        <w:right w:val="none" w:sz="0" w:space="0" w:color="auto"/>
      </w:divBdr>
      <w:divsChild>
        <w:div w:id="152259433">
          <w:blockQuote w:val="1"/>
          <w:marLeft w:val="720"/>
          <w:marRight w:val="720"/>
          <w:marTop w:val="100"/>
          <w:marBottom w:val="100"/>
          <w:divBdr>
            <w:top w:val="none" w:sz="0" w:space="0" w:color="auto"/>
            <w:left w:val="none" w:sz="0" w:space="0" w:color="auto"/>
            <w:bottom w:val="none" w:sz="0" w:space="0" w:color="auto"/>
            <w:right w:val="none" w:sz="0" w:space="0" w:color="auto"/>
          </w:divBdr>
        </w:div>
        <w:div w:id="491675132">
          <w:blockQuote w:val="1"/>
          <w:marLeft w:val="720"/>
          <w:marRight w:val="720"/>
          <w:marTop w:val="100"/>
          <w:marBottom w:val="100"/>
          <w:divBdr>
            <w:top w:val="none" w:sz="0" w:space="0" w:color="auto"/>
            <w:left w:val="none" w:sz="0" w:space="0" w:color="auto"/>
            <w:bottom w:val="none" w:sz="0" w:space="0" w:color="auto"/>
            <w:right w:val="none" w:sz="0" w:space="0" w:color="auto"/>
          </w:divBdr>
        </w:div>
        <w:div w:id="640965833">
          <w:blockQuote w:val="1"/>
          <w:marLeft w:val="720"/>
          <w:marRight w:val="720"/>
          <w:marTop w:val="100"/>
          <w:marBottom w:val="100"/>
          <w:divBdr>
            <w:top w:val="none" w:sz="0" w:space="0" w:color="auto"/>
            <w:left w:val="none" w:sz="0" w:space="0" w:color="auto"/>
            <w:bottom w:val="none" w:sz="0" w:space="0" w:color="auto"/>
            <w:right w:val="none" w:sz="0" w:space="0" w:color="auto"/>
          </w:divBdr>
        </w:div>
        <w:div w:id="786311543">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788318">
          <w:blockQuote w:val="1"/>
          <w:marLeft w:val="720"/>
          <w:marRight w:val="720"/>
          <w:marTop w:val="100"/>
          <w:marBottom w:val="100"/>
          <w:divBdr>
            <w:top w:val="none" w:sz="0" w:space="0" w:color="auto"/>
            <w:left w:val="none" w:sz="0" w:space="0" w:color="auto"/>
            <w:bottom w:val="none" w:sz="0" w:space="0" w:color="auto"/>
            <w:right w:val="none" w:sz="0" w:space="0" w:color="auto"/>
          </w:divBdr>
        </w:div>
        <w:div w:id="1605307325">
          <w:blockQuote w:val="1"/>
          <w:marLeft w:val="720"/>
          <w:marRight w:val="720"/>
          <w:marTop w:val="100"/>
          <w:marBottom w:val="100"/>
          <w:divBdr>
            <w:top w:val="none" w:sz="0" w:space="0" w:color="auto"/>
            <w:left w:val="none" w:sz="0" w:space="0" w:color="auto"/>
            <w:bottom w:val="none" w:sz="0" w:space="0" w:color="auto"/>
            <w:right w:val="none" w:sz="0" w:space="0" w:color="auto"/>
          </w:divBdr>
        </w:div>
        <w:div w:id="1755320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3687961">
      <w:bodyDiv w:val="1"/>
      <w:marLeft w:val="0"/>
      <w:marRight w:val="0"/>
      <w:marTop w:val="0"/>
      <w:marBottom w:val="0"/>
      <w:divBdr>
        <w:top w:val="none" w:sz="0" w:space="0" w:color="auto"/>
        <w:left w:val="none" w:sz="0" w:space="0" w:color="auto"/>
        <w:bottom w:val="none" w:sz="0" w:space="0" w:color="auto"/>
        <w:right w:val="none" w:sz="0" w:space="0" w:color="auto"/>
      </w:divBdr>
      <w:divsChild>
        <w:div w:id="43137494">
          <w:marLeft w:val="0"/>
          <w:marRight w:val="0"/>
          <w:marTop w:val="0"/>
          <w:marBottom w:val="0"/>
          <w:divBdr>
            <w:top w:val="none" w:sz="0" w:space="0" w:color="auto"/>
            <w:left w:val="none" w:sz="0" w:space="0" w:color="auto"/>
            <w:bottom w:val="none" w:sz="0" w:space="0" w:color="auto"/>
            <w:right w:val="none" w:sz="0" w:space="0" w:color="auto"/>
          </w:divBdr>
        </w:div>
        <w:div w:id="63115225">
          <w:marLeft w:val="0"/>
          <w:marRight w:val="0"/>
          <w:marTop w:val="0"/>
          <w:marBottom w:val="0"/>
          <w:divBdr>
            <w:top w:val="none" w:sz="0" w:space="0" w:color="auto"/>
            <w:left w:val="none" w:sz="0" w:space="0" w:color="auto"/>
            <w:bottom w:val="none" w:sz="0" w:space="0" w:color="auto"/>
            <w:right w:val="none" w:sz="0" w:space="0" w:color="auto"/>
          </w:divBdr>
        </w:div>
        <w:div w:id="394163487">
          <w:marLeft w:val="0"/>
          <w:marRight w:val="0"/>
          <w:marTop w:val="0"/>
          <w:marBottom w:val="0"/>
          <w:divBdr>
            <w:top w:val="none" w:sz="0" w:space="0" w:color="auto"/>
            <w:left w:val="none" w:sz="0" w:space="0" w:color="auto"/>
            <w:bottom w:val="none" w:sz="0" w:space="0" w:color="auto"/>
            <w:right w:val="none" w:sz="0" w:space="0" w:color="auto"/>
          </w:divBdr>
        </w:div>
        <w:div w:id="530650750">
          <w:marLeft w:val="0"/>
          <w:marRight w:val="0"/>
          <w:marTop w:val="0"/>
          <w:marBottom w:val="0"/>
          <w:divBdr>
            <w:top w:val="none" w:sz="0" w:space="0" w:color="auto"/>
            <w:left w:val="none" w:sz="0" w:space="0" w:color="auto"/>
            <w:bottom w:val="none" w:sz="0" w:space="0" w:color="auto"/>
            <w:right w:val="none" w:sz="0" w:space="0" w:color="auto"/>
          </w:divBdr>
        </w:div>
        <w:div w:id="585502582">
          <w:marLeft w:val="0"/>
          <w:marRight w:val="0"/>
          <w:marTop w:val="0"/>
          <w:marBottom w:val="0"/>
          <w:divBdr>
            <w:top w:val="none" w:sz="0" w:space="0" w:color="auto"/>
            <w:left w:val="none" w:sz="0" w:space="0" w:color="auto"/>
            <w:bottom w:val="none" w:sz="0" w:space="0" w:color="auto"/>
            <w:right w:val="none" w:sz="0" w:space="0" w:color="auto"/>
          </w:divBdr>
        </w:div>
        <w:div w:id="608395994">
          <w:marLeft w:val="0"/>
          <w:marRight w:val="0"/>
          <w:marTop w:val="0"/>
          <w:marBottom w:val="0"/>
          <w:divBdr>
            <w:top w:val="none" w:sz="0" w:space="0" w:color="auto"/>
            <w:left w:val="none" w:sz="0" w:space="0" w:color="auto"/>
            <w:bottom w:val="none" w:sz="0" w:space="0" w:color="auto"/>
            <w:right w:val="none" w:sz="0" w:space="0" w:color="auto"/>
          </w:divBdr>
        </w:div>
        <w:div w:id="671027909">
          <w:marLeft w:val="0"/>
          <w:marRight w:val="0"/>
          <w:marTop w:val="0"/>
          <w:marBottom w:val="0"/>
          <w:divBdr>
            <w:top w:val="none" w:sz="0" w:space="0" w:color="auto"/>
            <w:left w:val="none" w:sz="0" w:space="0" w:color="auto"/>
            <w:bottom w:val="none" w:sz="0" w:space="0" w:color="auto"/>
            <w:right w:val="none" w:sz="0" w:space="0" w:color="auto"/>
          </w:divBdr>
        </w:div>
        <w:div w:id="1040935725">
          <w:marLeft w:val="0"/>
          <w:marRight w:val="0"/>
          <w:marTop w:val="0"/>
          <w:marBottom w:val="0"/>
          <w:divBdr>
            <w:top w:val="none" w:sz="0" w:space="0" w:color="auto"/>
            <w:left w:val="none" w:sz="0" w:space="0" w:color="auto"/>
            <w:bottom w:val="none" w:sz="0" w:space="0" w:color="auto"/>
            <w:right w:val="none" w:sz="0" w:space="0" w:color="auto"/>
          </w:divBdr>
        </w:div>
        <w:div w:id="1226646784">
          <w:marLeft w:val="0"/>
          <w:marRight w:val="0"/>
          <w:marTop w:val="0"/>
          <w:marBottom w:val="0"/>
          <w:divBdr>
            <w:top w:val="none" w:sz="0" w:space="0" w:color="auto"/>
            <w:left w:val="none" w:sz="0" w:space="0" w:color="auto"/>
            <w:bottom w:val="none" w:sz="0" w:space="0" w:color="auto"/>
            <w:right w:val="none" w:sz="0" w:space="0" w:color="auto"/>
          </w:divBdr>
        </w:div>
        <w:div w:id="1239290284">
          <w:marLeft w:val="0"/>
          <w:marRight w:val="0"/>
          <w:marTop w:val="0"/>
          <w:marBottom w:val="0"/>
          <w:divBdr>
            <w:top w:val="none" w:sz="0" w:space="0" w:color="auto"/>
            <w:left w:val="none" w:sz="0" w:space="0" w:color="auto"/>
            <w:bottom w:val="none" w:sz="0" w:space="0" w:color="auto"/>
            <w:right w:val="none" w:sz="0" w:space="0" w:color="auto"/>
          </w:divBdr>
        </w:div>
        <w:div w:id="1253586249">
          <w:marLeft w:val="0"/>
          <w:marRight w:val="0"/>
          <w:marTop w:val="0"/>
          <w:marBottom w:val="0"/>
          <w:divBdr>
            <w:top w:val="none" w:sz="0" w:space="0" w:color="auto"/>
            <w:left w:val="none" w:sz="0" w:space="0" w:color="auto"/>
            <w:bottom w:val="none" w:sz="0" w:space="0" w:color="auto"/>
            <w:right w:val="none" w:sz="0" w:space="0" w:color="auto"/>
          </w:divBdr>
        </w:div>
        <w:div w:id="1354720564">
          <w:marLeft w:val="0"/>
          <w:marRight w:val="0"/>
          <w:marTop w:val="0"/>
          <w:marBottom w:val="0"/>
          <w:divBdr>
            <w:top w:val="none" w:sz="0" w:space="0" w:color="auto"/>
            <w:left w:val="none" w:sz="0" w:space="0" w:color="auto"/>
            <w:bottom w:val="none" w:sz="0" w:space="0" w:color="auto"/>
            <w:right w:val="none" w:sz="0" w:space="0" w:color="auto"/>
          </w:divBdr>
        </w:div>
        <w:div w:id="1391146714">
          <w:marLeft w:val="0"/>
          <w:marRight w:val="0"/>
          <w:marTop w:val="0"/>
          <w:marBottom w:val="0"/>
          <w:divBdr>
            <w:top w:val="none" w:sz="0" w:space="0" w:color="auto"/>
            <w:left w:val="none" w:sz="0" w:space="0" w:color="auto"/>
            <w:bottom w:val="none" w:sz="0" w:space="0" w:color="auto"/>
            <w:right w:val="none" w:sz="0" w:space="0" w:color="auto"/>
          </w:divBdr>
        </w:div>
        <w:div w:id="1434863596">
          <w:marLeft w:val="0"/>
          <w:marRight w:val="0"/>
          <w:marTop w:val="0"/>
          <w:marBottom w:val="0"/>
          <w:divBdr>
            <w:top w:val="none" w:sz="0" w:space="0" w:color="auto"/>
            <w:left w:val="none" w:sz="0" w:space="0" w:color="auto"/>
            <w:bottom w:val="none" w:sz="0" w:space="0" w:color="auto"/>
            <w:right w:val="none" w:sz="0" w:space="0" w:color="auto"/>
          </w:divBdr>
        </w:div>
        <w:div w:id="1489710863">
          <w:marLeft w:val="0"/>
          <w:marRight w:val="0"/>
          <w:marTop w:val="0"/>
          <w:marBottom w:val="0"/>
          <w:divBdr>
            <w:top w:val="none" w:sz="0" w:space="0" w:color="auto"/>
            <w:left w:val="none" w:sz="0" w:space="0" w:color="auto"/>
            <w:bottom w:val="none" w:sz="0" w:space="0" w:color="auto"/>
            <w:right w:val="none" w:sz="0" w:space="0" w:color="auto"/>
          </w:divBdr>
        </w:div>
        <w:div w:id="1540237810">
          <w:marLeft w:val="0"/>
          <w:marRight w:val="0"/>
          <w:marTop w:val="0"/>
          <w:marBottom w:val="0"/>
          <w:divBdr>
            <w:top w:val="none" w:sz="0" w:space="0" w:color="auto"/>
            <w:left w:val="none" w:sz="0" w:space="0" w:color="auto"/>
            <w:bottom w:val="none" w:sz="0" w:space="0" w:color="auto"/>
            <w:right w:val="none" w:sz="0" w:space="0" w:color="auto"/>
          </w:divBdr>
        </w:div>
        <w:div w:id="1589919161">
          <w:marLeft w:val="0"/>
          <w:marRight w:val="0"/>
          <w:marTop w:val="0"/>
          <w:marBottom w:val="0"/>
          <w:divBdr>
            <w:top w:val="none" w:sz="0" w:space="0" w:color="auto"/>
            <w:left w:val="none" w:sz="0" w:space="0" w:color="auto"/>
            <w:bottom w:val="none" w:sz="0" w:space="0" w:color="auto"/>
            <w:right w:val="none" w:sz="0" w:space="0" w:color="auto"/>
          </w:divBdr>
        </w:div>
        <w:div w:id="1689331564">
          <w:marLeft w:val="0"/>
          <w:marRight w:val="0"/>
          <w:marTop w:val="0"/>
          <w:marBottom w:val="0"/>
          <w:divBdr>
            <w:top w:val="none" w:sz="0" w:space="0" w:color="auto"/>
            <w:left w:val="none" w:sz="0" w:space="0" w:color="auto"/>
            <w:bottom w:val="none" w:sz="0" w:space="0" w:color="auto"/>
            <w:right w:val="none" w:sz="0" w:space="0" w:color="auto"/>
          </w:divBdr>
        </w:div>
        <w:div w:id="1701082405">
          <w:marLeft w:val="0"/>
          <w:marRight w:val="0"/>
          <w:marTop w:val="0"/>
          <w:marBottom w:val="0"/>
          <w:divBdr>
            <w:top w:val="none" w:sz="0" w:space="0" w:color="auto"/>
            <w:left w:val="none" w:sz="0" w:space="0" w:color="auto"/>
            <w:bottom w:val="none" w:sz="0" w:space="0" w:color="auto"/>
            <w:right w:val="none" w:sz="0" w:space="0" w:color="auto"/>
          </w:divBdr>
        </w:div>
        <w:div w:id="1759672413">
          <w:marLeft w:val="0"/>
          <w:marRight w:val="0"/>
          <w:marTop w:val="0"/>
          <w:marBottom w:val="0"/>
          <w:divBdr>
            <w:top w:val="none" w:sz="0" w:space="0" w:color="auto"/>
            <w:left w:val="none" w:sz="0" w:space="0" w:color="auto"/>
            <w:bottom w:val="none" w:sz="0" w:space="0" w:color="auto"/>
            <w:right w:val="none" w:sz="0" w:space="0" w:color="auto"/>
          </w:divBdr>
        </w:div>
        <w:div w:id="1759784349">
          <w:marLeft w:val="0"/>
          <w:marRight w:val="0"/>
          <w:marTop w:val="0"/>
          <w:marBottom w:val="0"/>
          <w:divBdr>
            <w:top w:val="none" w:sz="0" w:space="0" w:color="auto"/>
            <w:left w:val="none" w:sz="0" w:space="0" w:color="auto"/>
            <w:bottom w:val="none" w:sz="0" w:space="0" w:color="auto"/>
            <w:right w:val="none" w:sz="0" w:space="0" w:color="auto"/>
          </w:divBdr>
        </w:div>
        <w:div w:id="1846900479">
          <w:marLeft w:val="0"/>
          <w:marRight w:val="0"/>
          <w:marTop w:val="0"/>
          <w:marBottom w:val="0"/>
          <w:divBdr>
            <w:top w:val="none" w:sz="0" w:space="0" w:color="auto"/>
            <w:left w:val="none" w:sz="0" w:space="0" w:color="auto"/>
            <w:bottom w:val="none" w:sz="0" w:space="0" w:color="auto"/>
            <w:right w:val="none" w:sz="0" w:space="0" w:color="auto"/>
          </w:divBdr>
        </w:div>
        <w:div w:id="1951350758">
          <w:marLeft w:val="0"/>
          <w:marRight w:val="0"/>
          <w:marTop w:val="0"/>
          <w:marBottom w:val="0"/>
          <w:divBdr>
            <w:top w:val="none" w:sz="0" w:space="0" w:color="auto"/>
            <w:left w:val="none" w:sz="0" w:space="0" w:color="auto"/>
            <w:bottom w:val="none" w:sz="0" w:space="0" w:color="auto"/>
            <w:right w:val="none" w:sz="0" w:space="0" w:color="auto"/>
          </w:divBdr>
        </w:div>
        <w:div w:id="1987706895">
          <w:marLeft w:val="0"/>
          <w:marRight w:val="0"/>
          <w:marTop w:val="0"/>
          <w:marBottom w:val="0"/>
          <w:divBdr>
            <w:top w:val="none" w:sz="0" w:space="0" w:color="auto"/>
            <w:left w:val="none" w:sz="0" w:space="0" w:color="auto"/>
            <w:bottom w:val="none" w:sz="0" w:space="0" w:color="auto"/>
            <w:right w:val="none" w:sz="0" w:space="0" w:color="auto"/>
          </w:divBdr>
        </w:div>
        <w:div w:id="2031249334">
          <w:marLeft w:val="0"/>
          <w:marRight w:val="0"/>
          <w:marTop w:val="0"/>
          <w:marBottom w:val="0"/>
          <w:divBdr>
            <w:top w:val="none" w:sz="0" w:space="0" w:color="auto"/>
            <w:left w:val="none" w:sz="0" w:space="0" w:color="auto"/>
            <w:bottom w:val="none" w:sz="0" w:space="0" w:color="auto"/>
            <w:right w:val="none" w:sz="0" w:space="0" w:color="auto"/>
          </w:divBdr>
        </w:div>
      </w:divsChild>
    </w:div>
    <w:div w:id="1923833538">
      <w:bodyDiv w:val="1"/>
      <w:marLeft w:val="0"/>
      <w:marRight w:val="0"/>
      <w:marTop w:val="0"/>
      <w:marBottom w:val="0"/>
      <w:divBdr>
        <w:top w:val="none" w:sz="0" w:space="0" w:color="auto"/>
        <w:left w:val="none" w:sz="0" w:space="0" w:color="auto"/>
        <w:bottom w:val="none" w:sz="0" w:space="0" w:color="auto"/>
        <w:right w:val="none" w:sz="0" w:space="0" w:color="auto"/>
      </w:divBdr>
      <w:divsChild>
        <w:div w:id="151063592">
          <w:marLeft w:val="0"/>
          <w:marRight w:val="0"/>
          <w:marTop w:val="0"/>
          <w:marBottom w:val="0"/>
          <w:divBdr>
            <w:top w:val="none" w:sz="0" w:space="0" w:color="auto"/>
            <w:left w:val="none" w:sz="0" w:space="0" w:color="auto"/>
            <w:bottom w:val="none" w:sz="0" w:space="0" w:color="auto"/>
            <w:right w:val="none" w:sz="0" w:space="0" w:color="auto"/>
          </w:divBdr>
        </w:div>
        <w:div w:id="405609202">
          <w:marLeft w:val="0"/>
          <w:marRight w:val="0"/>
          <w:marTop w:val="0"/>
          <w:marBottom w:val="0"/>
          <w:divBdr>
            <w:top w:val="none" w:sz="0" w:space="0" w:color="auto"/>
            <w:left w:val="none" w:sz="0" w:space="0" w:color="auto"/>
            <w:bottom w:val="none" w:sz="0" w:space="0" w:color="auto"/>
            <w:right w:val="none" w:sz="0" w:space="0" w:color="auto"/>
          </w:divBdr>
        </w:div>
        <w:div w:id="564142389">
          <w:marLeft w:val="0"/>
          <w:marRight w:val="0"/>
          <w:marTop w:val="0"/>
          <w:marBottom w:val="0"/>
          <w:divBdr>
            <w:top w:val="none" w:sz="0" w:space="0" w:color="auto"/>
            <w:left w:val="none" w:sz="0" w:space="0" w:color="auto"/>
            <w:bottom w:val="none" w:sz="0" w:space="0" w:color="auto"/>
            <w:right w:val="none" w:sz="0" w:space="0" w:color="auto"/>
          </w:divBdr>
        </w:div>
        <w:div w:id="717583759">
          <w:marLeft w:val="0"/>
          <w:marRight w:val="0"/>
          <w:marTop w:val="0"/>
          <w:marBottom w:val="0"/>
          <w:divBdr>
            <w:top w:val="none" w:sz="0" w:space="0" w:color="auto"/>
            <w:left w:val="none" w:sz="0" w:space="0" w:color="auto"/>
            <w:bottom w:val="none" w:sz="0" w:space="0" w:color="auto"/>
            <w:right w:val="none" w:sz="0" w:space="0" w:color="auto"/>
          </w:divBdr>
        </w:div>
        <w:div w:id="905722917">
          <w:marLeft w:val="0"/>
          <w:marRight w:val="0"/>
          <w:marTop w:val="0"/>
          <w:marBottom w:val="0"/>
          <w:divBdr>
            <w:top w:val="none" w:sz="0" w:space="0" w:color="auto"/>
            <w:left w:val="none" w:sz="0" w:space="0" w:color="auto"/>
            <w:bottom w:val="none" w:sz="0" w:space="0" w:color="auto"/>
            <w:right w:val="none" w:sz="0" w:space="0" w:color="auto"/>
          </w:divBdr>
        </w:div>
        <w:div w:id="986326199">
          <w:marLeft w:val="0"/>
          <w:marRight w:val="0"/>
          <w:marTop w:val="0"/>
          <w:marBottom w:val="0"/>
          <w:divBdr>
            <w:top w:val="none" w:sz="0" w:space="0" w:color="auto"/>
            <w:left w:val="none" w:sz="0" w:space="0" w:color="auto"/>
            <w:bottom w:val="none" w:sz="0" w:space="0" w:color="auto"/>
            <w:right w:val="none" w:sz="0" w:space="0" w:color="auto"/>
          </w:divBdr>
        </w:div>
        <w:div w:id="1397972497">
          <w:marLeft w:val="0"/>
          <w:marRight w:val="0"/>
          <w:marTop w:val="0"/>
          <w:marBottom w:val="0"/>
          <w:divBdr>
            <w:top w:val="none" w:sz="0" w:space="0" w:color="auto"/>
            <w:left w:val="none" w:sz="0" w:space="0" w:color="auto"/>
            <w:bottom w:val="none" w:sz="0" w:space="0" w:color="auto"/>
            <w:right w:val="none" w:sz="0" w:space="0" w:color="auto"/>
          </w:divBdr>
        </w:div>
        <w:div w:id="1409769895">
          <w:marLeft w:val="0"/>
          <w:marRight w:val="0"/>
          <w:marTop w:val="0"/>
          <w:marBottom w:val="0"/>
          <w:divBdr>
            <w:top w:val="none" w:sz="0" w:space="0" w:color="auto"/>
            <w:left w:val="none" w:sz="0" w:space="0" w:color="auto"/>
            <w:bottom w:val="none" w:sz="0" w:space="0" w:color="auto"/>
            <w:right w:val="none" w:sz="0" w:space="0" w:color="auto"/>
          </w:divBdr>
        </w:div>
        <w:div w:id="1697584627">
          <w:marLeft w:val="0"/>
          <w:marRight w:val="0"/>
          <w:marTop w:val="0"/>
          <w:marBottom w:val="0"/>
          <w:divBdr>
            <w:top w:val="none" w:sz="0" w:space="0" w:color="auto"/>
            <w:left w:val="none" w:sz="0" w:space="0" w:color="auto"/>
            <w:bottom w:val="none" w:sz="0" w:space="0" w:color="auto"/>
            <w:right w:val="none" w:sz="0" w:space="0" w:color="auto"/>
          </w:divBdr>
        </w:div>
        <w:div w:id="1700279217">
          <w:marLeft w:val="0"/>
          <w:marRight w:val="0"/>
          <w:marTop w:val="0"/>
          <w:marBottom w:val="0"/>
          <w:divBdr>
            <w:top w:val="none" w:sz="0" w:space="0" w:color="auto"/>
            <w:left w:val="none" w:sz="0" w:space="0" w:color="auto"/>
            <w:bottom w:val="none" w:sz="0" w:space="0" w:color="auto"/>
            <w:right w:val="none" w:sz="0" w:space="0" w:color="auto"/>
          </w:divBdr>
        </w:div>
        <w:div w:id="1978685208">
          <w:marLeft w:val="0"/>
          <w:marRight w:val="0"/>
          <w:marTop w:val="0"/>
          <w:marBottom w:val="0"/>
          <w:divBdr>
            <w:top w:val="none" w:sz="0" w:space="0" w:color="auto"/>
            <w:left w:val="none" w:sz="0" w:space="0" w:color="auto"/>
            <w:bottom w:val="none" w:sz="0" w:space="0" w:color="auto"/>
            <w:right w:val="none" w:sz="0" w:space="0" w:color="auto"/>
          </w:divBdr>
        </w:div>
      </w:divsChild>
    </w:div>
    <w:div w:id="1964267486">
      <w:bodyDiv w:val="1"/>
      <w:marLeft w:val="0"/>
      <w:marRight w:val="0"/>
      <w:marTop w:val="0"/>
      <w:marBottom w:val="0"/>
      <w:divBdr>
        <w:top w:val="none" w:sz="0" w:space="0" w:color="auto"/>
        <w:left w:val="none" w:sz="0" w:space="0" w:color="auto"/>
        <w:bottom w:val="none" w:sz="0" w:space="0" w:color="auto"/>
        <w:right w:val="none" w:sz="0" w:space="0" w:color="auto"/>
      </w:divBdr>
      <w:divsChild>
        <w:div w:id="64957761">
          <w:marLeft w:val="0"/>
          <w:marRight w:val="0"/>
          <w:marTop w:val="0"/>
          <w:marBottom w:val="0"/>
          <w:divBdr>
            <w:top w:val="none" w:sz="0" w:space="0" w:color="auto"/>
            <w:left w:val="none" w:sz="0" w:space="0" w:color="auto"/>
            <w:bottom w:val="none" w:sz="0" w:space="0" w:color="auto"/>
            <w:right w:val="none" w:sz="0" w:space="0" w:color="auto"/>
          </w:divBdr>
        </w:div>
        <w:div w:id="75128908">
          <w:marLeft w:val="0"/>
          <w:marRight w:val="0"/>
          <w:marTop w:val="0"/>
          <w:marBottom w:val="0"/>
          <w:divBdr>
            <w:top w:val="none" w:sz="0" w:space="0" w:color="auto"/>
            <w:left w:val="none" w:sz="0" w:space="0" w:color="auto"/>
            <w:bottom w:val="none" w:sz="0" w:space="0" w:color="auto"/>
            <w:right w:val="none" w:sz="0" w:space="0" w:color="auto"/>
          </w:divBdr>
        </w:div>
        <w:div w:id="101534353">
          <w:marLeft w:val="0"/>
          <w:marRight w:val="0"/>
          <w:marTop w:val="0"/>
          <w:marBottom w:val="0"/>
          <w:divBdr>
            <w:top w:val="none" w:sz="0" w:space="0" w:color="auto"/>
            <w:left w:val="none" w:sz="0" w:space="0" w:color="auto"/>
            <w:bottom w:val="none" w:sz="0" w:space="0" w:color="auto"/>
            <w:right w:val="none" w:sz="0" w:space="0" w:color="auto"/>
          </w:divBdr>
        </w:div>
        <w:div w:id="131481895">
          <w:marLeft w:val="0"/>
          <w:marRight w:val="0"/>
          <w:marTop w:val="0"/>
          <w:marBottom w:val="0"/>
          <w:divBdr>
            <w:top w:val="none" w:sz="0" w:space="0" w:color="auto"/>
            <w:left w:val="none" w:sz="0" w:space="0" w:color="auto"/>
            <w:bottom w:val="none" w:sz="0" w:space="0" w:color="auto"/>
            <w:right w:val="none" w:sz="0" w:space="0" w:color="auto"/>
          </w:divBdr>
        </w:div>
        <w:div w:id="182475920">
          <w:marLeft w:val="0"/>
          <w:marRight w:val="0"/>
          <w:marTop w:val="0"/>
          <w:marBottom w:val="0"/>
          <w:divBdr>
            <w:top w:val="none" w:sz="0" w:space="0" w:color="auto"/>
            <w:left w:val="none" w:sz="0" w:space="0" w:color="auto"/>
            <w:bottom w:val="none" w:sz="0" w:space="0" w:color="auto"/>
            <w:right w:val="none" w:sz="0" w:space="0" w:color="auto"/>
          </w:divBdr>
        </w:div>
        <w:div w:id="205652331">
          <w:marLeft w:val="0"/>
          <w:marRight w:val="0"/>
          <w:marTop w:val="0"/>
          <w:marBottom w:val="0"/>
          <w:divBdr>
            <w:top w:val="none" w:sz="0" w:space="0" w:color="auto"/>
            <w:left w:val="none" w:sz="0" w:space="0" w:color="auto"/>
            <w:bottom w:val="none" w:sz="0" w:space="0" w:color="auto"/>
            <w:right w:val="none" w:sz="0" w:space="0" w:color="auto"/>
          </w:divBdr>
        </w:div>
        <w:div w:id="235434005">
          <w:marLeft w:val="0"/>
          <w:marRight w:val="0"/>
          <w:marTop w:val="0"/>
          <w:marBottom w:val="0"/>
          <w:divBdr>
            <w:top w:val="none" w:sz="0" w:space="0" w:color="auto"/>
            <w:left w:val="none" w:sz="0" w:space="0" w:color="auto"/>
            <w:bottom w:val="none" w:sz="0" w:space="0" w:color="auto"/>
            <w:right w:val="none" w:sz="0" w:space="0" w:color="auto"/>
          </w:divBdr>
        </w:div>
        <w:div w:id="306858765">
          <w:marLeft w:val="0"/>
          <w:marRight w:val="0"/>
          <w:marTop w:val="0"/>
          <w:marBottom w:val="0"/>
          <w:divBdr>
            <w:top w:val="none" w:sz="0" w:space="0" w:color="auto"/>
            <w:left w:val="none" w:sz="0" w:space="0" w:color="auto"/>
            <w:bottom w:val="none" w:sz="0" w:space="0" w:color="auto"/>
            <w:right w:val="none" w:sz="0" w:space="0" w:color="auto"/>
          </w:divBdr>
        </w:div>
        <w:div w:id="340010954">
          <w:marLeft w:val="0"/>
          <w:marRight w:val="0"/>
          <w:marTop w:val="0"/>
          <w:marBottom w:val="0"/>
          <w:divBdr>
            <w:top w:val="none" w:sz="0" w:space="0" w:color="auto"/>
            <w:left w:val="none" w:sz="0" w:space="0" w:color="auto"/>
            <w:bottom w:val="none" w:sz="0" w:space="0" w:color="auto"/>
            <w:right w:val="none" w:sz="0" w:space="0" w:color="auto"/>
          </w:divBdr>
        </w:div>
        <w:div w:id="347217949">
          <w:marLeft w:val="0"/>
          <w:marRight w:val="0"/>
          <w:marTop w:val="0"/>
          <w:marBottom w:val="0"/>
          <w:divBdr>
            <w:top w:val="none" w:sz="0" w:space="0" w:color="auto"/>
            <w:left w:val="none" w:sz="0" w:space="0" w:color="auto"/>
            <w:bottom w:val="none" w:sz="0" w:space="0" w:color="auto"/>
            <w:right w:val="none" w:sz="0" w:space="0" w:color="auto"/>
          </w:divBdr>
        </w:div>
        <w:div w:id="378363437">
          <w:marLeft w:val="0"/>
          <w:marRight w:val="0"/>
          <w:marTop w:val="0"/>
          <w:marBottom w:val="0"/>
          <w:divBdr>
            <w:top w:val="none" w:sz="0" w:space="0" w:color="auto"/>
            <w:left w:val="none" w:sz="0" w:space="0" w:color="auto"/>
            <w:bottom w:val="none" w:sz="0" w:space="0" w:color="auto"/>
            <w:right w:val="none" w:sz="0" w:space="0" w:color="auto"/>
          </w:divBdr>
        </w:div>
        <w:div w:id="472328123">
          <w:marLeft w:val="0"/>
          <w:marRight w:val="0"/>
          <w:marTop w:val="0"/>
          <w:marBottom w:val="0"/>
          <w:divBdr>
            <w:top w:val="none" w:sz="0" w:space="0" w:color="auto"/>
            <w:left w:val="none" w:sz="0" w:space="0" w:color="auto"/>
            <w:bottom w:val="none" w:sz="0" w:space="0" w:color="auto"/>
            <w:right w:val="none" w:sz="0" w:space="0" w:color="auto"/>
          </w:divBdr>
        </w:div>
        <w:div w:id="519247172">
          <w:marLeft w:val="0"/>
          <w:marRight w:val="0"/>
          <w:marTop w:val="0"/>
          <w:marBottom w:val="0"/>
          <w:divBdr>
            <w:top w:val="none" w:sz="0" w:space="0" w:color="auto"/>
            <w:left w:val="none" w:sz="0" w:space="0" w:color="auto"/>
            <w:bottom w:val="none" w:sz="0" w:space="0" w:color="auto"/>
            <w:right w:val="none" w:sz="0" w:space="0" w:color="auto"/>
          </w:divBdr>
        </w:div>
        <w:div w:id="531382115">
          <w:marLeft w:val="0"/>
          <w:marRight w:val="0"/>
          <w:marTop w:val="0"/>
          <w:marBottom w:val="0"/>
          <w:divBdr>
            <w:top w:val="none" w:sz="0" w:space="0" w:color="auto"/>
            <w:left w:val="none" w:sz="0" w:space="0" w:color="auto"/>
            <w:bottom w:val="none" w:sz="0" w:space="0" w:color="auto"/>
            <w:right w:val="none" w:sz="0" w:space="0" w:color="auto"/>
          </w:divBdr>
        </w:div>
        <w:div w:id="622539501">
          <w:marLeft w:val="0"/>
          <w:marRight w:val="0"/>
          <w:marTop w:val="0"/>
          <w:marBottom w:val="0"/>
          <w:divBdr>
            <w:top w:val="none" w:sz="0" w:space="0" w:color="auto"/>
            <w:left w:val="none" w:sz="0" w:space="0" w:color="auto"/>
            <w:bottom w:val="none" w:sz="0" w:space="0" w:color="auto"/>
            <w:right w:val="none" w:sz="0" w:space="0" w:color="auto"/>
          </w:divBdr>
        </w:div>
        <w:div w:id="647704318">
          <w:marLeft w:val="0"/>
          <w:marRight w:val="0"/>
          <w:marTop w:val="0"/>
          <w:marBottom w:val="0"/>
          <w:divBdr>
            <w:top w:val="none" w:sz="0" w:space="0" w:color="auto"/>
            <w:left w:val="none" w:sz="0" w:space="0" w:color="auto"/>
            <w:bottom w:val="none" w:sz="0" w:space="0" w:color="auto"/>
            <w:right w:val="none" w:sz="0" w:space="0" w:color="auto"/>
          </w:divBdr>
        </w:div>
        <w:div w:id="745496949">
          <w:marLeft w:val="0"/>
          <w:marRight w:val="0"/>
          <w:marTop w:val="0"/>
          <w:marBottom w:val="0"/>
          <w:divBdr>
            <w:top w:val="none" w:sz="0" w:space="0" w:color="auto"/>
            <w:left w:val="none" w:sz="0" w:space="0" w:color="auto"/>
            <w:bottom w:val="none" w:sz="0" w:space="0" w:color="auto"/>
            <w:right w:val="none" w:sz="0" w:space="0" w:color="auto"/>
          </w:divBdr>
        </w:div>
        <w:div w:id="756440880">
          <w:marLeft w:val="0"/>
          <w:marRight w:val="0"/>
          <w:marTop w:val="0"/>
          <w:marBottom w:val="0"/>
          <w:divBdr>
            <w:top w:val="none" w:sz="0" w:space="0" w:color="auto"/>
            <w:left w:val="none" w:sz="0" w:space="0" w:color="auto"/>
            <w:bottom w:val="none" w:sz="0" w:space="0" w:color="auto"/>
            <w:right w:val="none" w:sz="0" w:space="0" w:color="auto"/>
          </w:divBdr>
        </w:div>
        <w:div w:id="810367927">
          <w:marLeft w:val="0"/>
          <w:marRight w:val="0"/>
          <w:marTop w:val="0"/>
          <w:marBottom w:val="0"/>
          <w:divBdr>
            <w:top w:val="none" w:sz="0" w:space="0" w:color="auto"/>
            <w:left w:val="none" w:sz="0" w:space="0" w:color="auto"/>
            <w:bottom w:val="none" w:sz="0" w:space="0" w:color="auto"/>
            <w:right w:val="none" w:sz="0" w:space="0" w:color="auto"/>
          </w:divBdr>
        </w:div>
        <w:div w:id="866797276">
          <w:marLeft w:val="0"/>
          <w:marRight w:val="0"/>
          <w:marTop w:val="0"/>
          <w:marBottom w:val="0"/>
          <w:divBdr>
            <w:top w:val="none" w:sz="0" w:space="0" w:color="auto"/>
            <w:left w:val="none" w:sz="0" w:space="0" w:color="auto"/>
            <w:bottom w:val="none" w:sz="0" w:space="0" w:color="auto"/>
            <w:right w:val="none" w:sz="0" w:space="0" w:color="auto"/>
          </w:divBdr>
        </w:div>
        <w:div w:id="894779334">
          <w:marLeft w:val="0"/>
          <w:marRight w:val="0"/>
          <w:marTop w:val="0"/>
          <w:marBottom w:val="0"/>
          <w:divBdr>
            <w:top w:val="none" w:sz="0" w:space="0" w:color="auto"/>
            <w:left w:val="none" w:sz="0" w:space="0" w:color="auto"/>
            <w:bottom w:val="none" w:sz="0" w:space="0" w:color="auto"/>
            <w:right w:val="none" w:sz="0" w:space="0" w:color="auto"/>
          </w:divBdr>
        </w:div>
        <w:div w:id="933705484">
          <w:marLeft w:val="0"/>
          <w:marRight w:val="0"/>
          <w:marTop w:val="0"/>
          <w:marBottom w:val="0"/>
          <w:divBdr>
            <w:top w:val="none" w:sz="0" w:space="0" w:color="auto"/>
            <w:left w:val="none" w:sz="0" w:space="0" w:color="auto"/>
            <w:bottom w:val="none" w:sz="0" w:space="0" w:color="auto"/>
            <w:right w:val="none" w:sz="0" w:space="0" w:color="auto"/>
          </w:divBdr>
        </w:div>
        <w:div w:id="946472325">
          <w:marLeft w:val="0"/>
          <w:marRight w:val="0"/>
          <w:marTop w:val="0"/>
          <w:marBottom w:val="0"/>
          <w:divBdr>
            <w:top w:val="none" w:sz="0" w:space="0" w:color="auto"/>
            <w:left w:val="none" w:sz="0" w:space="0" w:color="auto"/>
            <w:bottom w:val="none" w:sz="0" w:space="0" w:color="auto"/>
            <w:right w:val="none" w:sz="0" w:space="0" w:color="auto"/>
          </w:divBdr>
        </w:div>
        <w:div w:id="954290268">
          <w:marLeft w:val="0"/>
          <w:marRight w:val="0"/>
          <w:marTop w:val="0"/>
          <w:marBottom w:val="0"/>
          <w:divBdr>
            <w:top w:val="none" w:sz="0" w:space="0" w:color="auto"/>
            <w:left w:val="none" w:sz="0" w:space="0" w:color="auto"/>
            <w:bottom w:val="none" w:sz="0" w:space="0" w:color="auto"/>
            <w:right w:val="none" w:sz="0" w:space="0" w:color="auto"/>
          </w:divBdr>
        </w:div>
        <w:div w:id="956719925">
          <w:marLeft w:val="0"/>
          <w:marRight w:val="0"/>
          <w:marTop w:val="0"/>
          <w:marBottom w:val="0"/>
          <w:divBdr>
            <w:top w:val="none" w:sz="0" w:space="0" w:color="auto"/>
            <w:left w:val="none" w:sz="0" w:space="0" w:color="auto"/>
            <w:bottom w:val="none" w:sz="0" w:space="0" w:color="auto"/>
            <w:right w:val="none" w:sz="0" w:space="0" w:color="auto"/>
          </w:divBdr>
        </w:div>
        <w:div w:id="960694453">
          <w:marLeft w:val="0"/>
          <w:marRight w:val="0"/>
          <w:marTop w:val="0"/>
          <w:marBottom w:val="0"/>
          <w:divBdr>
            <w:top w:val="none" w:sz="0" w:space="0" w:color="auto"/>
            <w:left w:val="none" w:sz="0" w:space="0" w:color="auto"/>
            <w:bottom w:val="none" w:sz="0" w:space="0" w:color="auto"/>
            <w:right w:val="none" w:sz="0" w:space="0" w:color="auto"/>
          </w:divBdr>
        </w:div>
        <w:div w:id="964821620">
          <w:marLeft w:val="0"/>
          <w:marRight w:val="0"/>
          <w:marTop w:val="0"/>
          <w:marBottom w:val="0"/>
          <w:divBdr>
            <w:top w:val="none" w:sz="0" w:space="0" w:color="auto"/>
            <w:left w:val="none" w:sz="0" w:space="0" w:color="auto"/>
            <w:bottom w:val="none" w:sz="0" w:space="0" w:color="auto"/>
            <w:right w:val="none" w:sz="0" w:space="0" w:color="auto"/>
          </w:divBdr>
        </w:div>
        <w:div w:id="1001080926">
          <w:marLeft w:val="0"/>
          <w:marRight w:val="0"/>
          <w:marTop w:val="0"/>
          <w:marBottom w:val="0"/>
          <w:divBdr>
            <w:top w:val="none" w:sz="0" w:space="0" w:color="auto"/>
            <w:left w:val="none" w:sz="0" w:space="0" w:color="auto"/>
            <w:bottom w:val="none" w:sz="0" w:space="0" w:color="auto"/>
            <w:right w:val="none" w:sz="0" w:space="0" w:color="auto"/>
          </w:divBdr>
        </w:div>
        <w:div w:id="1029260827">
          <w:marLeft w:val="0"/>
          <w:marRight w:val="0"/>
          <w:marTop w:val="0"/>
          <w:marBottom w:val="0"/>
          <w:divBdr>
            <w:top w:val="none" w:sz="0" w:space="0" w:color="auto"/>
            <w:left w:val="none" w:sz="0" w:space="0" w:color="auto"/>
            <w:bottom w:val="none" w:sz="0" w:space="0" w:color="auto"/>
            <w:right w:val="none" w:sz="0" w:space="0" w:color="auto"/>
          </w:divBdr>
        </w:div>
        <w:div w:id="1064252610">
          <w:marLeft w:val="0"/>
          <w:marRight w:val="0"/>
          <w:marTop w:val="0"/>
          <w:marBottom w:val="0"/>
          <w:divBdr>
            <w:top w:val="none" w:sz="0" w:space="0" w:color="auto"/>
            <w:left w:val="none" w:sz="0" w:space="0" w:color="auto"/>
            <w:bottom w:val="none" w:sz="0" w:space="0" w:color="auto"/>
            <w:right w:val="none" w:sz="0" w:space="0" w:color="auto"/>
          </w:divBdr>
        </w:div>
        <w:div w:id="1077020474">
          <w:marLeft w:val="0"/>
          <w:marRight w:val="0"/>
          <w:marTop w:val="0"/>
          <w:marBottom w:val="0"/>
          <w:divBdr>
            <w:top w:val="none" w:sz="0" w:space="0" w:color="auto"/>
            <w:left w:val="none" w:sz="0" w:space="0" w:color="auto"/>
            <w:bottom w:val="none" w:sz="0" w:space="0" w:color="auto"/>
            <w:right w:val="none" w:sz="0" w:space="0" w:color="auto"/>
          </w:divBdr>
        </w:div>
        <w:div w:id="1139032624">
          <w:marLeft w:val="0"/>
          <w:marRight w:val="0"/>
          <w:marTop w:val="0"/>
          <w:marBottom w:val="0"/>
          <w:divBdr>
            <w:top w:val="none" w:sz="0" w:space="0" w:color="auto"/>
            <w:left w:val="none" w:sz="0" w:space="0" w:color="auto"/>
            <w:bottom w:val="none" w:sz="0" w:space="0" w:color="auto"/>
            <w:right w:val="none" w:sz="0" w:space="0" w:color="auto"/>
          </w:divBdr>
        </w:div>
        <w:div w:id="1155993128">
          <w:marLeft w:val="0"/>
          <w:marRight w:val="0"/>
          <w:marTop w:val="0"/>
          <w:marBottom w:val="0"/>
          <w:divBdr>
            <w:top w:val="none" w:sz="0" w:space="0" w:color="auto"/>
            <w:left w:val="none" w:sz="0" w:space="0" w:color="auto"/>
            <w:bottom w:val="none" w:sz="0" w:space="0" w:color="auto"/>
            <w:right w:val="none" w:sz="0" w:space="0" w:color="auto"/>
          </w:divBdr>
        </w:div>
        <w:div w:id="1283268400">
          <w:marLeft w:val="0"/>
          <w:marRight w:val="0"/>
          <w:marTop w:val="0"/>
          <w:marBottom w:val="0"/>
          <w:divBdr>
            <w:top w:val="none" w:sz="0" w:space="0" w:color="auto"/>
            <w:left w:val="none" w:sz="0" w:space="0" w:color="auto"/>
            <w:bottom w:val="none" w:sz="0" w:space="0" w:color="auto"/>
            <w:right w:val="none" w:sz="0" w:space="0" w:color="auto"/>
          </w:divBdr>
        </w:div>
        <w:div w:id="1287275746">
          <w:marLeft w:val="0"/>
          <w:marRight w:val="0"/>
          <w:marTop w:val="0"/>
          <w:marBottom w:val="0"/>
          <w:divBdr>
            <w:top w:val="none" w:sz="0" w:space="0" w:color="auto"/>
            <w:left w:val="none" w:sz="0" w:space="0" w:color="auto"/>
            <w:bottom w:val="none" w:sz="0" w:space="0" w:color="auto"/>
            <w:right w:val="none" w:sz="0" w:space="0" w:color="auto"/>
          </w:divBdr>
        </w:div>
        <w:div w:id="1432049256">
          <w:marLeft w:val="0"/>
          <w:marRight w:val="0"/>
          <w:marTop w:val="0"/>
          <w:marBottom w:val="0"/>
          <w:divBdr>
            <w:top w:val="none" w:sz="0" w:space="0" w:color="auto"/>
            <w:left w:val="none" w:sz="0" w:space="0" w:color="auto"/>
            <w:bottom w:val="none" w:sz="0" w:space="0" w:color="auto"/>
            <w:right w:val="none" w:sz="0" w:space="0" w:color="auto"/>
          </w:divBdr>
        </w:div>
        <w:div w:id="1470781097">
          <w:marLeft w:val="0"/>
          <w:marRight w:val="0"/>
          <w:marTop w:val="0"/>
          <w:marBottom w:val="0"/>
          <w:divBdr>
            <w:top w:val="none" w:sz="0" w:space="0" w:color="auto"/>
            <w:left w:val="none" w:sz="0" w:space="0" w:color="auto"/>
            <w:bottom w:val="none" w:sz="0" w:space="0" w:color="auto"/>
            <w:right w:val="none" w:sz="0" w:space="0" w:color="auto"/>
          </w:divBdr>
        </w:div>
        <w:div w:id="1483814156">
          <w:marLeft w:val="0"/>
          <w:marRight w:val="0"/>
          <w:marTop w:val="0"/>
          <w:marBottom w:val="0"/>
          <w:divBdr>
            <w:top w:val="none" w:sz="0" w:space="0" w:color="auto"/>
            <w:left w:val="none" w:sz="0" w:space="0" w:color="auto"/>
            <w:bottom w:val="none" w:sz="0" w:space="0" w:color="auto"/>
            <w:right w:val="none" w:sz="0" w:space="0" w:color="auto"/>
          </w:divBdr>
        </w:div>
        <w:div w:id="1500653852">
          <w:marLeft w:val="0"/>
          <w:marRight w:val="0"/>
          <w:marTop w:val="0"/>
          <w:marBottom w:val="0"/>
          <w:divBdr>
            <w:top w:val="none" w:sz="0" w:space="0" w:color="auto"/>
            <w:left w:val="none" w:sz="0" w:space="0" w:color="auto"/>
            <w:bottom w:val="none" w:sz="0" w:space="0" w:color="auto"/>
            <w:right w:val="none" w:sz="0" w:space="0" w:color="auto"/>
          </w:divBdr>
        </w:div>
        <w:div w:id="1507089373">
          <w:marLeft w:val="0"/>
          <w:marRight w:val="0"/>
          <w:marTop w:val="0"/>
          <w:marBottom w:val="0"/>
          <w:divBdr>
            <w:top w:val="none" w:sz="0" w:space="0" w:color="auto"/>
            <w:left w:val="none" w:sz="0" w:space="0" w:color="auto"/>
            <w:bottom w:val="none" w:sz="0" w:space="0" w:color="auto"/>
            <w:right w:val="none" w:sz="0" w:space="0" w:color="auto"/>
          </w:divBdr>
        </w:div>
        <w:div w:id="1545556645">
          <w:marLeft w:val="0"/>
          <w:marRight w:val="0"/>
          <w:marTop w:val="0"/>
          <w:marBottom w:val="0"/>
          <w:divBdr>
            <w:top w:val="none" w:sz="0" w:space="0" w:color="auto"/>
            <w:left w:val="none" w:sz="0" w:space="0" w:color="auto"/>
            <w:bottom w:val="none" w:sz="0" w:space="0" w:color="auto"/>
            <w:right w:val="none" w:sz="0" w:space="0" w:color="auto"/>
          </w:divBdr>
        </w:div>
        <w:div w:id="1619490471">
          <w:marLeft w:val="0"/>
          <w:marRight w:val="0"/>
          <w:marTop w:val="0"/>
          <w:marBottom w:val="0"/>
          <w:divBdr>
            <w:top w:val="none" w:sz="0" w:space="0" w:color="auto"/>
            <w:left w:val="none" w:sz="0" w:space="0" w:color="auto"/>
            <w:bottom w:val="none" w:sz="0" w:space="0" w:color="auto"/>
            <w:right w:val="none" w:sz="0" w:space="0" w:color="auto"/>
          </w:divBdr>
        </w:div>
        <w:div w:id="1761246107">
          <w:marLeft w:val="0"/>
          <w:marRight w:val="0"/>
          <w:marTop w:val="0"/>
          <w:marBottom w:val="0"/>
          <w:divBdr>
            <w:top w:val="none" w:sz="0" w:space="0" w:color="auto"/>
            <w:left w:val="none" w:sz="0" w:space="0" w:color="auto"/>
            <w:bottom w:val="none" w:sz="0" w:space="0" w:color="auto"/>
            <w:right w:val="none" w:sz="0" w:space="0" w:color="auto"/>
          </w:divBdr>
        </w:div>
        <w:div w:id="1812558417">
          <w:marLeft w:val="0"/>
          <w:marRight w:val="0"/>
          <w:marTop w:val="0"/>
          <w:marBottom w:val="0"/>
          <w:divBdr>
            <w:top w:val="none" w:sz="0" w:space="0" w:color="auto"/>
            <w:left w:val="none" w:sz="0" w:space="0" w:color="auto"/>
            <w:bottom w:val="none" w:sz="0" w:space="0" w:color="auto"/>
            <w:right w:val="none" w:sz="0" w:space="0" w:color="auto"/>
          </w:divBdr>
        </w:div>
        <w:div w:id="1864318928">
          <w:marLeft w:val="0"/>
          <w:marRight w:val="0"/>
          <w:marTop w:val="0"/>
          <w:marBottom w:val="0"/>
          <w:divBdr>
            <w:top w:val="none" w:sz="0" w:space="0" w:color="auto"/>
            <w:left w:val="none" w:sz="0" w:space="0" w:color="auto"/>
            <w:bottom w:val="none" w:sz="0" w:space="0" w:color="auto"/>
            <w:right w:val="none" w:sz="0" w:space="0" w:color="auto"/>
          </w:divBdr>
        </w:div>
        <w:div w:id="1888756945">
          <w:marLeft w:val="0"/>
          <w:marRight w:val="0"/>
          <w:marTop w:val="0"/>
          <w:marBottom w:val="0"/>
          <w:divBdr>
            <w:top w:val="none" w:sz="0" w:space="0" w:color="auto"/>
            <w:left w:val="none" w:sz="0" w:space="0" w:color="auto"/>
            <w:bottom w:val="none" w:sz="0" w:space="0" w:color="auto"/>
            <w:right w:val="none" w:sz="0" w:space="0" w:color="auto"/>
          </w:divBdr>
        </w:div>
        <w:div w:id="1892224111">
          <w:marLeft w:val="0"/>
          <w:marRight w:val="0"/>
          <w:marTop w:val="0"/>
          <w:marBottom w:val="0"/>
          <w:divBdr>
            <w:top w:val="none" w:sz="0" w:space="0" w:color="auto"/>
            <w:left w:val="none" w:sz="0" w:space="0" w:color="auto"/>
            <w:bottom w:val="none" w:sz="0" w:space="0" w:color="auto"/>
            <w:right w:val="none" w:sz="0" w:space="0" w:color="auto"/>
          </w:divBdr>
        </w:div>
        <w:div w:id="1905098132">
          <w:marLeft w:val="0"/>
          <w:marRight w:val="0"/>
          <w:marTop w:val="0"/>
          <w:marBottom w:val="0"/>
          <w:divBdr>
            <w:top w:val="none" w:sz="0" w:space="0" w:color="auto"/>
            <w:left w:val="none" w:sz="0" w:space="0" w:color="auto"/>
            <w:bottom w:val="none" w:sz="0" w:space="0" w:color="auto"/>
            <w:right w:val="none" w:sz="0" w:space="0" w:color="auto"/>
          </w:divBdr>
        </w:div>
        <w:div w:id="2067727194">
          <w:marLeft w:val="0"/>
          <w:marRight w:val="0"/>
          <w:marTop w:val="0"/>
          <w:marBottom w:val="0"/>
          <w:divBdr>
            <w:top w:val="none" w:sz="0" w:space="0" w:color="auto"/>
            <w:left w:val="none" w:sz="0" w:space="0" w:color="auto"/>
            <w:bottom w:val="none" w:sz="0" w:space="0" w:color="auto"/>
            <w:right w:val="none" w:sz="0" w:space="0" w:color="auto"/>
          </w:divBdr>
        </w:div>
        <w:div w:id="2107075172">
          <w:marLeft w:val="0"/>
          <w:marRight w:val="0"/>
          <w:marTop w:val="0"/>
          <w:marBottom w:val="0"/>
          <w:divBdr>
            <w:top w:val="none" w:sz="0" w:space="0" w:color="auto"/>
            <w:left w:val="none" w:sz="0" w:space="0" w:color="auto"/>
            <w:bottom w:val="none" w:sz="0" w:space="0" w:color="auto"/>
            <w:right w:val="none" w:sz="0" w:space="0" w:color="auto"/>
          </w:divBdr>
        </w:div>
        <w:div w:id="2115662307">
          <w:marLeft w:val="0"/>
          <w:marRight w:val="0"/>
          <w:marTop w:val="0"/>
          <w:marBottom w:val="0"/>
          <w:divBdr>
            <w:top w:val="none" w:sz="0" w:space="0" w:color="auto"/>
            <w:left w:val="none" w:sz="0" w:space="0" w:color="auto"/>
            <w:bottom w:val="none" w:sz="0" w:space="0" w:color="auto"/>
            <w:right w:val="none" w:sz="0" w:space="0" w:color="auto"/>
          </w:divBdr>
        </w:div>
        <w:div w:id="2128500894">
          <w:marLeft w:val="0"/>
          <w:marRight w:val="0"/>
          <w:marTop w:val="0"/>
          <w:marBottom w:val="0"/>
          <w:divBdr>
            <w:top w:val="none" w:sz="0" w:space="0" w:color="auto"/>
            <w:left w:val="none" w:sz="0" w:space="0" w:color="auto"/>
            <w:bottom w:val="none" w:sz="0" w:space="0" w:color="auto"/>
            <w:right w:val="none" w:sz="0" w:space="0" w:color="auto"/>
          </w:divBdr>
        </w:div>
      </w:divsChild>
    </w:div>
    <w:div w:id="1982803193">
      <w:bodyDiv w:val="1"/>
      <w:marLeft w:val="0"/>
      <w:marRight w:val="0"/>
      <w:marTop w:val="0"/>
      <w:marBottom w:val="0"/>
      <w:divBdr>
        <w:top w:val="none" w:sz="0" w:space="0" w:color="auto"/>
        <w:left w:val="none" w:sz="0" w:space="0" w:color="auto"/>
        <w:bottom w:val="none" w:sz="0" w:space="0" w:color="auto"/>
        <w:right w:val="none" w:sz="0" w:space="0" w:color="auto"/>
      </w:divBdr>
      <w:divsChild>
        <w:div w:id="766999650">
          <w:marLeft w:val="0"/>
          <w:marRight w:val="0"/>
          <w:marTop w:val="0"/>
          <w:marBottom w:val="0"/>
          <w:divBdr>
            <w:top w:val="none" w:sz="0" w:space="0" w:color="auto"/>
            <w:left w:val="none" w:sz="0" w:space="0" w:color="auto"/>
            <w:bottom w:val="none" w:sz="0" w:space="0" w:color="auto"/>
            <w:right w:val="none" w:sz="0" w:space="0" w:color="auto"/>
          </w:divBdr>
        </w:div>
        <w:div w:id="1995714002">
          <w:marLeft w:val="0"/>
          <w:marRight w:val="0"/>
          <w:marTop w:val="0"/>
          <w:marBottom w:val="0"/>
          <w:divBdr>
            <w:top w:val="none" w:sz="0" w:space="0" w:color="auto"/>
            <w:left w:val="none" w:sz="0" w:space="0" w:color="auto"/>
            <w:bottom w:val="none" w:sz="0" w:space="0" w:color="auto"/>
            <w:right w:val="none" w:sz="0" w:space="0" w:color="auto"/>
          </w:divBdr>
        </w:div>
        <w:div w:id="2061440728">
          <w:marLeft w:val="0"/>
          <w:marRight w:val="0"/>
          <w:marTop w:val="0"/>
          <w:marBottom w:val="0"/>
          <w:divBdr>
            <w:top w:val="none" w:sz="0" w:space="0" w:color="auto"/>
            <w:left w:val="none" w:sz="0" w:space="0" w:color="auto"/>
            <w:bottom w:val="none" w:sz="0" w:space="0" w:color="auto"/>
            <w:right w:val="none" w:sz="0" w:space="0" w:color="auto"/>
          </w:divBdr>
        </w:div>
      </w:divsChild>
    </w:div>
    <w:div w:id="1984117963">
      <w:bodyDiv w:val="1"/>
      <w:marLeft w:val="0"/>
      <w:marRight w:val="0"/>
      <w:marTop w:val="0"/>
      <w:marBottom w:val="0"/>
      <w:divBdr>
        <w:top w:val="none" w:sz="0" w:space="0" w:color="auto"/>
        <w:left w:val="none" w:sz="0" w:space="0" w:color="auto"/>
        <w:bottom w:val="none" w:sz="0" w:space="0" w:color="auto"/>
        <w:right w:val="none" w:sz="0" w:space="0" w:color="auto"/>
      </w:divBdr>
      <w:divsChild>
        <w:div w:id="87968463">
          <w:marLeft w:val="0"/>
          <w:marRight w:val="0"/>
          <w:marTop w:val="0"/>
          <w:marBottom w:val="0"/>
          <w:divBdr>
            <w:top w:val="none" w:sz="0" w:space="0" w:color="auto"/>
            <w:left w:val="none" w:sz="0" w:space="0" w:color="auto"/>
            <w:bottom w:val="none" w:sz="0" w:space="0" w:color="auto"/>
            <w:right w:val="none" w:sz="0" w:space="0" w:color="auto"/>
          </w:divBdr>
        </w:div>
        <w:div w:id="97877308">
          <w:marLeft w:val="0"/>
          <w:marRight w:val="0"/>
          <w:marTop w:val="0"/>
          <w:marBottom w:val="0"/>
          <w:divBdr>
            <w:top w:val="none" w:sz="0" w:space="0" w:color="auto"/>
            <w:left w:val="none" w:sz="0" w:space="0" w:color="auto"/>
            <w:bottom w:val="none" w:sz="0" w:space="0" w:color="auto"/>
            <w:right w:val="none" w:sz="0" w:space="0" w:color="auto"/>
          </w:divBdr>
        </w:div>
        <w:div w:id="258148431">
          <w:marLeft w:val="0"/>
          <w:marRight w:val="0"/>
          <w:marTop w:val="0"/>
          <w:marBottom w:val="0"/>
          <w:divBdr>
            <w:top w:val="none" w:sz="0" w:space="0" w:color="auto"/>
            <w:left w:val="none" w:sz="0" w:space="0" w:color="auto"/>
            <w:bottom w:val="none" w:sz="0" w:space="0" w:color="auto"/>
            <w:right w:val="none" w:sz="0" w:space="0" w:color="auto"/>
          </w:divBdr>
        </w:div>
        <w:div w:id="1019627782">
          <w:marLeft w:val="0"/>
          <w:marRight w:val="0"/>
          <w:marTop w:val="0"/>
          <w:marBottom w:val="0"/>
          <w:divBdr>
            <w:top w:val="none" w:sz="0" w:space="0" w:color="auto"/>
            <w:left w:val="none" w:sz="0" w:space="0" w:color="auto"/>
            <w:bottom w:val="none" w:sz="0" w:space="0" w:color="auto"/>
            <w:right w:val="none" w:sz="0" w:space="0" w:color="auto"/>
          </w:divBdr>
        </w:div>
        <w:div w:id="1035421910">
          <w:marLeft w:val="0"/>
          <w:marRight w:val="0"/>
          <w:marTop w:val="0"/>
          <w:marBottom w:val="0"/>
          <w:divBdr>
            <w:top w:val="none" w:sz="0" w:space="0" w:color="auto"/>
            <w:left w:val="none" w:sz="0" w:space="0" w:color="auto"/>
            <w:bottom w:val="none" w:sz="0" w:space="0" w:color="auto"/>
            <w:right w:val="none" w:sz="0" w:space="0" w:color="auto"/>
          </w:divBdr>
        </w:div>
        <w:div w:id="1074284379">
          <w:marLeft w:val="0"/>
          <w:marRight w:val="0"/>
          <w:marTop w:val="0"/>
          <w:marBottom w:val="0"/>
          <w:divBdr>
            <w:top w:val="none" w:sz="0" w:space="0" w:color="auto"/>
            <w:left w:val="none" w:sz="0" w:space="0" w:color="auto"/>
            <w:bottom w:val="none" w:sz="0" w:space="0" w:color="auto"/>
            <w:right w:val="none" w:sz="0" w:space="0" w:color="auto"/>
          </w:divBdr>
        </w:div>
        <w:div w:id="1371148831">
          <w:marLeft w:val="0"/>
          <w:marRight w:val="0"/>
          <w:marTop w:val="0"/>
          <w:marBottom w:val="0"/>
          <w:divBdr>
            <w:top w:val="none" w:sz="0" w:space="0" w:color="auto"/>
            <w:left w:val="none" w:sz="0" w:space="0" w:color="auto"/>
            <w:bottom w:val="none" w:sz="0" w:space="0" w:color="auto"/>
            <w:right w:val="none" w:sz="0" w:space="0" w:color="auto"/>
          </w:divBdr>
        </w:div>
        <w:div w:id="2024238356">
          <w:marLeft w:val="0"/>
          <w:marRight w:val="0"/>
          <w:marTop w:val="0"/>
          <w:marBottom w:val="0"/>
          <w:divBdr>
            <w:top w:val="none" w:sz="0" w:space="0" w:color="auto"/>
            <w:left w:val="none" w:sz="0" w:space="0" w:color="auto"/>
            <w:bottom w:val="none" w:sz="0" w:space="0" w:color="auto"/>
            <w:right w:val="none" w:sz="0" w:space="0" w:color="auto"/>
          </w:divBdr>
        </w:div>
        <w:div w:id="2027946802">
          <w:marLeft w:val="0"/>
          <w:marRight w:val="0"/>
          <w:marTop w:val="0"/>
          <w:marBottom w:val="0"/>
          <w:divBdr>
            <w:top w:val="none" w:sz="0" w:space="0" w:color="auto"/>
            <w:left w:val="none" w:sz="0" w:space="0" w:color="auto"/>
            <w:bottom w:val="none" w:sz="0" w:space="0" w:color="auto"/>
            <w:right w:val="none" w:sz="0" w:space="0" w:color="auto"/>
          </w:divBdr>
        </w:div>
        <w:div w:id="2123376562">
          <w:marLeft w:val="0"/>
          <w:marRight w:val="0"/>
          <w:marTop w:val="0"/>
          <w:marBottom w:val="0"/>
          <w:divBdr>
            <w:top w:val="none" w:sz="0" w:space="0" w:color="auto"/>
            <w:left w:val="none" w:sz="0" w:space="0" w:color="auto"/>
            <w:bottom w:val="none" w:sz="0" w:space="0" w:color="auto"/>
            <w:right w:val="none" w:sz="0" w:space="0" w:color="auto"/>
          </w:divBdr>
        </w:div>
      </w:divsChild>
    </w:div>
    <w:div w:id="2141223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infoportal.fra.europa.eu/InfoPortal/infobaseShowContent.do?btnCat_78&amp;btnCountryBread_169" TargetMode="External"/><Relationship Id="rId26" Type="http://schemas.openxmlformats.org/officeDocument/2006/relationships/hyperlink" Target="http://infoportal.fra.europa.eu/InfoPortal/infobaseShowContent.do?btnCat_230&amp;btnCountryBread_169" TargetMode="External"/><Relationship Id="rId39" Type="http://schemas.openxmlformats.org/officeDocument/2006/relationships/hyperlink" Target="http://infoportal.fra.europa.eu/InfoPortal/infobaseShowContent.do?btnCat_241&amp;btnCountryBread_169" TargetMode="External"/><Relationship Id="rId21" Type="http://schemas.openxmlformats.org/officeDocument/2006/relationships/hyperlink" Target="http://infoportal.fra.europa.eu/InfoPortal/infobaseShowContent.do?btnCat_182&amp;btnCountryBread_169" TargetMode="External"/><Relationship Id="rId34" Type="http://schemas.openxmlformats.org/officeDocument/2006/relationships/hyperlink" Target="http://infoportal.fra.europa.eu/InfoPortal/infobaseShowContent.do?btnCat_301&amp;btnCountryBread_169" TargetMode="External"/><Relationship Id="rId42" Type="http://schemas.openxmlformats.org/officeDocument/2006/relationships/hyperlink" Target="http://infoportal.fra.europa.eu/InfoPortal/infobaseShowContent.do?btnCat_10&amp;btnCountryBread_169" TargetMode="External"/><Relationship Id="rId47" Type="http://schemas.openxmlformats.org/officeDocument/2006/relationships/hyperlink" Target="http://infoportal.fra.europa.eu/InfoPortal/infobaseShowContent.do?btnCat_224&amp;btnCountryBread_169" TargetMode="External"/><Relationship Id="rId50" Type="http://schemas.openxmlformats.org/officeDocument/2006/relationships/hyperlink" Target="http://infoportal.fra.europa.eu/InfoPortal/infobaseShowContent.do?btnCat_307&amp;btnCountryBread_169" TargetMode="External"/><Relationship Id="rId55" Type="http://schemas.openxmlformats.org/officeDocument/2006/relationships/hyperlink" Target="http://infoportal.fra.europa.eu/InfoPortal/infobaseShowContent.do?btnCat_312&amp;btnCountryBread_169" TargetMode="External"/><Relationship Id="rId63" Type="http://schemas.openxmlformats.org/officeDocument/2006/relationships/hyperlink" Target="http://infoportal.fra.europa.eu/InfoPortal/infobaseShowContent.do?btnCat_317&amp;btnCountryBread_169" TargetMode="External"/><Relationship Id="rId68" Type="http://schemas.openxmlformats.org/officeDocument/2006/relationships/hyperlink" Target="http://infoportal.fra.europa.eu/InfoPortal/infobaseShowContent.do?btnCat_262&amp;btnCountryBread_169" TargetMode="External"/><Relationship Id="rId76" Type="http://schemas.openxmlformats.org/officeDocument/2006/relationships/hyperlink" Target="https://infoportal.fra.europa.eu/InfoPortal/infobaseShowContent.do?btnCat_456&amp;btnCountryBread_169" TargetMode="External"/><Relationship Id="rId7" Type="http://schemas.openxmlformats.org/officeDocument/2006/relationships/footnotes" Target="footnotes.xml"/><Relationship Id="rId71" Type="http://schemas.openxmlformats.org/officeDocument/2006/relationships/hyperlink" Target="http://infoportal.fra.europa.eu/InfoPortal/infobaseShowContent.do?btnCat_253&amp;btnCountryBread_169"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infoportal.fra.europa.eu/InfoPortal/infobaseShowContent.do?btnCat_233&amp;btnCountryBread_169" TargetMode="External"/><Relationship Id="rId11" Type="http://schemas.openxmlformats.org/officeDocument/2006/relationships/image" Target="media/image2.png"/><Relationship Id="rId24" Type="http://schemas.openxmlformats.org/officeDocument/2006/relationships/hyperlink" Target="http://infoportal.fra.europa.eu/InfoPortal/infobaseShowContent.do?btnCat_209&amp;btnCountryBread_169" TargetMode="External"/><Relationship Id="rId32" Type="http://schemas.openxmlformats.org/officeDocument/2006/relationships/hyperlink" Target="http://infoportal.fra.europa.eu/InfoPortal/infobaseShowContent.do?btnCat_235&amp;btnCountryBread_169" TargetMode="External"/><Relationship Id="rId37" Type="http://schemas.openxmlformats.org/officeDocument/2006/relationships/hyperlink" Target="http://infoportal.fra.europa.eu/InfoPortal/infobaseShowContent.do?btnCat_239&amp;btnCountryBread_169" TargetMode="External"/><Relationship Id="rId40" Type="http://schemas.openxmlformats.org/officeDocument/2006/relationships/hyperlink" Target="http://infoportal.fra.europa.eu/InfoPortal/infobaseShowContent.do?btnCat_203&amp;btnCountryBread_169" TargetMode="External"/><Relationship Id="rId45" Type="http://schemas.openxmlformats.org/officeDocument/2006/relationships/hyperlink" Target="http://infoportal.fra.europa.eu/InfoPortal/infobaseShowContent.do?btnCat_222&amp;btnCountryBread_169" TargetMode="External"/><Relationship Id="rId53" Type="http://schemas.openxmlformats.org/officeDocument/2006/relationships/hyperlink" Target="http://infoportal.fra.europa.eu/InfoPortal/infobaseShowContent.do?btnCat_310&amp;btnCountryBread_169" TargetMode="External"/><Relationship Id="rId58" Type="http://schemas.openxmlformats.org/officeDocument/2006/relationships/hyperlink" Target="http://infoportal.fra.europa.eu/InfoPortal/infobaseShowContent.do?btnCat_285&amp;btnCountryBread_169" TargetMode="External"/><Relationship Id="rId66" Type="http://schemas.openxmlformats.org/officeDocument/2006/relationships/hyperlink" Target="http://infoportal.fra.europa.eu/InfoPortal/infobaseShowContent.do?btnCat_260&amp;btnCountryBread_169" TargetMode="External"/><Relationship Id="rId74" Type="http://schemas.openxmlformats.org/officeDocument/2006/relationships/hyperlink" Target="http://infoportal.fra.europa.eu/InfoPortal/infobaseShowContent.do?btnCat_257&amp;btnCountryBread_169" TargetMode="External"/><Relationship Id="rId79" Type="http://schemas.openxmlformats.org/officeDocument/2006/relationships/hyperlink" Target="https://infoportal.fra.europa.eu/InfoPortal/infobaseShowContent.do?btnCat_459&amp;btnCountryBread_169" TargetMode="External"/><Relationship Id="rId5" Type="http://schemas.openxmlformats.org/officeDocument/2006/relationships/settings" Target="settings.xml"/><Relationship Id="rId61" Type="http://schemas.openxmlformats.org/officeDocument/2006/relationships/hyperlink" Target="http://infoportal.fra.europa.eu/InfoPortal/infobaseShowContent.do?btnCat_316&amp;btnCountryBread_169" TargetMode="External"/><Relationship Id="rId82" Type="http://schemas.openxmlformats.org/officeDocument/2006/relationships/fontTable" Target="fontTable.xml"/><Relationship Id="rId10" Type="http://schemas.openxmlformats.org/officeDocument/2006/relationships/image" Target="media/image10.png"/><Relationship Id="rId19" Type="http://schemas.openxmlformats.org/officeDocument/2006/relationships/hyperlink" Target="http://infoportal.fra.europa.eu/InfoPortal/infobaseShowContent.do?btnCat_77&amp;btnCountryBread_169" TargetMode="External"/><Relationship Id="rId31" Type="http://schemas.openxmlformats.org/officeDocument/2006/relationships/hyperlink" Target="http://infoportal.fra.europa.eu/InfoPortal/infobaseShowContent.do?btnCat_300&amp;btnCountryBread_169" TargetMode="External"/><Relationship Id="rId44" Type="http://schemas.openxmlformats.org/officeDocument/2006/relationships/hyperlink" Target="http://infoportal.fra.europa.eu/InfoPortal/infobaseShowContent.do?btnCat_221&amp;btnCountryBread_169" TargetMode="External"/><Relationship Id="rId52" Type="http://schemas.openxmlformats.org/officeDocument/2006/relationships/hyperlink" Target="http://infoportal.fra.europa.eu/InfoPortal/infobaseShowContent.do?btnCat_309&amp;btnCountryBread_169" TargetMode="External"/><Relationship Id="rId60" Type="http://schemas.openxmlformats.org/officeDocument/2006/relationships/hyperlink" Target="http://infoportal.fra.europa.eu/InfoPortal/infobaseShowContent.do?btnCat_315&amp;btnCountryBread_169" TargetMode="External"/><Relationship Id="rId65" Type="http://schemas.openxmlformats.org/officeDocument/2006/relationships/hyperlink" Target="http://infoportal.fra.europa.eu/InfoPortal/infobaseShowContent.do?btnCat_259&amp;btnCountryBread_169" TargetMode="External"/><Relationship Id="rId73" Type="http://schemas.openxmlformats.org/officeDocument/2006/relationships/hyperlink" Target="http://infoportal.fra.europa.eu/InfoPortal/infobaseShowContent.do?btnCat_320&amp;btnCountryBread_169" TargetMode="External"/><Relationship Id="rId78" Type="http://schemas.openxmlformats.org/officeDocument/2006/relationships/hyperlink" Target="https://infoportal.fra.europa.eu/InfoPortal/infobaseShowContent.do?btnCat_458&amp;btnCountryBread_169" TargetMode="External"/><Relationship Id="rId8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infoportal.fra.europa.eu/InfoPortal/infobaseShowContent.do?btnCat_183&amp;btnCountryBread_169" TargetMode="External"/><Relationship Id="rId27" Type="http://schemas.openxmlformats.org/officeDocument/2006/relationships/hyperlink" Target="http://infoportal.fra.europa.eu/InfoPortal/infobaseShowContent.do?btnCat_231&amp;btnCountryBread_169" TargetMode="External"/><Relationship Id="rId30" Type="http://schemas.openxmlformats.org/officeDocument/2006/relationships/hyperlink" Target="http://infoportal.fra.europa.eu/InfoPortal/infobaseShowContent.do?btnCat_305&amp;btnCountryBread_169" TargetMode="External"/><Relationship Id="rId35" Type="http://schemas.openxmlformats.org/officeDocument/2006/relationships/hyperlink" Target="http://infoportal.fra.europa.eu/InfoPortal/infobaseShowContent.do?btnCat_238&amp;btnCountryBread_169" TargetMode="External"/><Relationship Id="rId43" Type="http://schemas.openxmlformats.org/officeDocument/2006/relationships/hyperlink" Target="http://infoportal.fra.europa.eu/InfoPortal/infobaseShowContent.do?btnCat_214&amp;btnCountryBread_169" TargetMode="External"/><Relationship Id="rId48" Type="http://schemas.openxmlformats.org/officeDocument/2006/relationships/hyperlink" Target="http://infoportal.fra.europa.eu/InfoPortal/infobaseShowContent.do?btnCat_204&amp;btnCountryBread_169" TargetMode="External"/><Relationship Id="rId56" Type="http://schemas.openxmlformats.org/officeDocument/2006/relationships/hyperlink" Target="http://infoportal.fra.europa.eu/InfoPortal/infobaseShowContent.do?btnCat_313&amp;btnCountryBread_169" TargetMode="External"/><Relationship Id="rId64" Type="http://schemas.openxmlformats.org/officeDocument/2006/relationships/hyperlink" Target="http://infoportal.fra.europa.eu/InfoPortal/infobaseShowContent.do?btnCat_318&amp;btnCountryBread_169" TargetMode="External"/><Relationship Id="rId69" Type="http://schemas.openxmlformats.org/officeDocument/2006/relationships/hyperlink" Target="http://infoportal.fra.europa.eu/InfoPortal/infobaseShowContent.do?btnCat_263&amp;btnCountryBread_169" TargetMode="External"/><Relationship Id="rId77" Type="http://schemas.openxmlformats.org/officeDocument/2006/relationships/hyperlink" Target="https://infoportal.fra.europa.eu/InfoPortal/infobaseShowContent.do?btnCat_457&amp;btnCountryBread_169" TargetMode="External"/><Relationship Id="rId8" Type="http://schemas.openxmlformats.org/officeDocument/2006/relationships/endnotes" Target="endnotes.xml"/><Relationship Id="rId51" Type="http://schemas.openxmlformats.org/officeDocument/2006/relationships/hyperlink" Target="http://infoportal.fra.europa.eu/InfoPortal/infobaseShowContent.do?btnCat_308&amp;btnCountryBread_169" TargetMode="External"/><Relationship Id="rId72" Type="http://schemas.openxmlformats.org/officeDocument/2006/relationships/hyperlink" Target="http://infoportal.fra.europa.eu/InfoPortal/infobaseShowContent.do?btnCat_256&amp;btnCountryBread_169" TargetMode="External"/><Relationship Id="rId80" Type="http://schemas.openxmlformats.org/officeDocument/2006/relationships/hyperlink" Target="https://infoportal.fra.europa.eu/InfoPortal/infobaseShowContent.do?btnCat_460&amp;btnCountryBread_169" TargetMode="External"/><Relationship Id="rId3" Type="http://schemas.openxmlformats.org/officeDocument/2006/relationships/styles" Target="styles.xml"/><Relationship Id="rId12" Type="http://schemas.openxmlformats.org/officeDocument/2006/relationships/image" Target="media/image20.png"/><Relationship Id="rId17" Type="http://schemas.openxmlformats.org/officeDocument/2006/relationships/hyperlink" Target="http://eur-lex.europa.eu/legal-content/EN/TXT/PDF/?uri=CELEX:12010P&amp;from=EN" TargetMode="External"/><Relationship Id="rId25" Type="http://schemas.openxmlformats.org/officeDocument/2006/relationships/hyperlink" Target="http://infoportal.fra.europa.eu/InfoPortal/infobaseShowContent.do?btnCat_202&amp;btnCountryBread_169" TargetMode="External"/><Relationship Id="rId33" Type="http://schemas.openxmlformats.org/officeDocument/2006/relationships/hyperlink" Target="http://infoportal.fra.europa.eu/InfoPortal/infobaseShowContent.do?btnCat_236&amp;btnCountryBread_169" TargetMode="External"/><Relationship Id="rId38" Type="http://schemas.openxmlformats.org/officeDocument/2006/relationships/hyperlink" Target="http://infoportal.fra.europa.eu/InfoPortal/infobaseShowContent.do?btnCat_240&amp;btnCountryBread_169" TargetMode="External"/><Relationship Id="rId46" Type="http://schemas.openxmlformats.org/officeDocument/2006/relationships/hyperlink" Target="http://infoportal.fra.europa.eu/InfoPortal/infobaseShowContent.do?btnCat_223&amp;btnCountryBread_169" TargetMode="External"/><Relationship Id="rId59" Type="http://schemas.openxmlformats.org/officeDocument/2006/relationships/hyperlink" Target="http://infoportal.fra.europa.eu/InfoPortal/infobaseShowContent.do?btnCat_314&amp;btnCountryBread_169" TargetMode="External"/><Relationship Id="rId67" Type="http://schemas.openxmlformats.org/officeDocument/2006/relationships/hyperlink" Target="http://infoportal.fra.europa.eu/InfoPortal/infobaseShowContent.do?btnCat_261&amp;btnCountryBread_169" TargetMode="External"/><Relationship Id="rId20" Type="http://schemas.openxmlformats.org/officeDocument/2006/relationships/hyperlink" Target="http://infoportal.fra.europa.eu/InfoPortal/infobaseShowContent.do?btnCat_322&amp;btnCountryBread_169" TargetMode="External"/><Relationship Id="rId41" Type="http://schemas.openxmlformats.org/officeDocument/2006/relationships/hyperlink" Target="http://infoportal.fra.europa.eu/InfoPortal/infobaseShowContent.do?btnCat_210&amp;btnCountryBread_169" TargetMode="External"/><Relationship Id="rId54" Type="http://schemas.openxmlformats.org/officeDocument/2006/relationships/hyperlink" Target="http://infoportal.fra.europa.eu/InfoPortal/infobaseShowContent.do?btnCat_311&amp;btnCountryBread_169" TargetMode="External"/><Relationship Id="rId62" Type="http://schemas.openxmlformats.org/officeDocument/2006/relationships/hyperlink" Target="http://infoportal.fra.europa.eu/InfoPortal/infobaseShowContent.do?btnCat_205&amp;btnCountryBread_169" TargetMode="External"/><Relationship Id="rId70" Type="http://schemas.openxmlformats.org/officeDocument/2006/relationships/hyperlink" Target="http://infoportal.fra.europa.eu/InfoPortal/infobaseShowContent.do?btnCat_264&amp;btnCountryBread_169" TargetMode="External"/><Relationship Id="rId75" Type="http://schemas.openxmlformats.org/officeDocument/2006/relationships/hyperlink" Target="http://infoportal.fra.europa.eu/InfoPortal/infobaseShowContent.do?btnCat_321&amp;btnCountryBread_169"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infoportal.fra.europa.eu/InfoPortal/infobaseShowContent.do?btnCat_208&amp;btnCountryBread_169" TargetMode="External"/><Relationship Id="rId28" Type="http://schemas.openxmlformats.org/officeDocument/2006/relationships/hyperlink" Target="http://infoportal.fra.europa.eu/InfoPortal/infobaseShowContent.do?btnCat_232&amp;btnCountryBread_169" TargetMode="External"/><Relationship Id="rId36" Type="http://schemas.openxmlformats.org/officeDocument/2006/relationships/hyperlink" Target="http://infoportal.fra.europa.eu/InfoPortal/infobaseShowContent.do?btnCat_302&amp;btnCountryBread_169" TargetMode="External"/><Relationship Id="rId49" Type="http://schemas.openxmlformats.org/officeDocument/2006/relationships/hyperlink" Target="http://infoportal.fra.europa.eu/InfoPortal/infobaseShowContent.do?btnCat_204&amp;btnCountryBread_169" TargetMode="External"/><Relationship Id="rId57" Type="http://schemas.openxmlformats.org/officeDocument/2006/relationships/hyperlink" Target="http://infoportal.fra.europa.eu/InfoPortal/infobaseShowContent.do?btnCat_288&amp;btnCountryBread_169"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c.europa.eu/justice/fundamental-rights/charter/application/index_en.htm" TargetMode="External"/><Relationship Id="rId13" Type="http://schemas.openxmlformats.org/officeDocument/2006/relationships/hyperlink" Target="http://fra.europa.eu/sites/default/files/fra_uploads/fra-2016-frr-chapter-1-eu-charter-2_en.pdf" TargetMode="External"/><Relationship Id="rId18" Type="http://schemas.openxmlformats.org/officeDocument/2006/relationships/hyperlink" Target="http://curia.europa.eu/jcms/upload/docs/application/pdf/2015-04/en_ecj_annual_report_2014_pr1.pdf" TargetMode="External"/><Relationship Id="rId3" Type="http://schemas.openxmlformats.org/officeDocument/2006/relationships/hyperlink" Target="http://www.fundamental.rights@consilium.eu.int" TargetMode="External"/><Relationship Id="rId21" Type="http://schemas.openxmlformats.org/officeDocument/2006/relationships/hyperlink" Target="https://documents-dds-ny.un.org/doc/UNDOC/GEN/G16/039/97/PDF/G1603997.pdf?OpenElement" TargetMode="External"/><Relationship Id="rId7" Type="http://schemas.openxmlformats.org/officeDocument/2006/relationships/hyperlink" Target="http://fra.europa.eu/sites/default/files/fra_uploads/fra-2016-fundamental-rights-report-2016-2_en.pdf" TargetMode="External"/><Relationship Id="rId12" Type="http://schemas.openxmlformats.org/officeDocument/2006/relationships/hyperlink" Target="http://fra.europa.eu/sites/default/files/fra_uploads/fra-2016-frr-chapter-1-eu-charter-2_en.pdf" TargetMode="External"/><Relationship Id="rId17" Type="http://schemas.openxmlformats.org/officeDocument/2006/relationships/hyperlink" Target="http://scholarship.law.cornell.edu/clsops_papers/93" TargetMode="External"/><Relationship Id="rId2" Type="http://schemas.openxmlformats.org/officeDocument/2006/relationships/hyperlink" Target="http://data.consilium.europa.eu/doc/document/ST-9319-2015-INIT/en/pdf" TargetMode="External"/><Relationship Id="rId16" Type="http://schemas.openxmlformats.org/officeDocument/2006/relationships/hyperlink" Target="http://europa.eu/about-eu/agencies/" TargetMode="External"/><Relationship Id="rId20" Type="http://schemas.openxmlformats.org/officeDocument/2006/relationships/hyperlink" Target="http://www.eui.eu/Projects/CentreForJudicialCooperation/Projects/CharterClick/Charterclick.aspx" TargetMode="External"/><Relationship Id="rId1" Type="http://schemas.openxmlformats.org/officeDocument/2006/relationships/hyperlink" Target="mailto:padraic.kenna@nuigalway.ie" TargetMode="External"/><Relationship Id="rId6" Type="http://schemas.openxmlformats.org/officeDocument/2006/relationships/hyperlink" Target="http://fra.europa.eu/en/charterpedia" TargetMode="External"/><Relationship Id="rId11" Type="http://schemas.openxmlformats.org/officeDocument/2006/relationships/hyperlink" Target="http://ec.europa.eu/justice/fundamental-rights/files/flash_eurobarometer_416_charter_-_summary_en.pdf" TargetMode="External"/><Relationship Id="rId24" Type="http://schemas.openxmlformats.org/officeDocument/2006/relationships/hyperlink" Target="http://eur-lex.europa.eu/LexUriServ/LexUriServ.do?uri=OJ:C:2007:303:0017:0035:en:PDF" TargetMode="External"/><Relationship Id="rId5" Type="http://schemas.openxmlformats.org/officeDocument/2006/relationships/hyperlink" Target="http://eur-lex.europa.eu/LexUriServ/LexUriServ.do?uri=OJ:C:2007:303:0017:0035:en:PDF" TargetMode="External"/><Relationship Id="rId15" Type="http://schemas.openxmlformats.org/officeDocument/2006/relationships/hyperlink" Target="http://europa.eu/pol/cons/index_en.htm" TargetMode="External"/><Relationship Id="rId23" Type="http://schemas.openxmlformats.org/officeDocument/2006/relationships/hyperlink" Target="http://eur-lex.europa.eu/LexUriServ/LexUriServ.do?uri=CELEX:31993L0013:en:HTML" TargetMode="External"/><Relationship Id="rId10" Type="http://schemas.openxmlformats.org/officeDocument/2006/relationships/hyperlink" Target="http://curia.europa.eu/jcms/upload/docs/application/pdf/2015-04/en_ecj_annual_report_2014_pr1.pdf" TargetMode="External"/><Relationship Id="rId19" Type="http://schemas.openxmlformats.org/officeDocument/2006/relationships/hyperlink" Target="http://www.eui.eu/Projects/CentreForJudicialCooperation/Projects/CharterClick/Charterclick.aspx" TargetMode="External"/><Relationship Id="rId4" Type="http://schemas.openxmlformats.org/officeDocument/2006/relationships/hyperlink" Target="https://www.lawsociety.ie/Documents/committees/hr/ECHRReport30July2015.pdf" TargetMode="External"/><Relationship Id="rId9" Type="http://schemas.openxmlformats.org/officeDocument/2006/relationships/hyperlink" Target="http://ec.europa.eu/smart-regulation/guidelines/ug_chap3_en.htm" TargetMode="External"/><Relationship Id="rId14" Type="http://schemas.openxmlformats.org/officeDocument/2006/relationships/hyperlink" Target="http://eur-lex.europa.eu/legal-content/EN/TXT/?uri=uriserv:OJ.C_.2010.083.01.0389.01.ENG&amp;toc=OJ:C:2010:083:TOC" TargetMode="External"/><Relationship Id="rId22" Type="http://schemas.openxmlformats.org/officeDocument/2006/relationships/hyperlink" Target="https://rm.coe.int/CoERMPublicCommonSearchServices/DisplayDCTMContent?documentId=090000168049159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FE3EB-5778-4A50-B8A8-8A6F7DB16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8942</Words>
  <Characters>50972</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OSF</Company>
  <LinksUpToDate>false</LinksUpToDate>
  <CharactersWithSpaces>59795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Eugene Deering</dc:creator>
  <cp:lastModifiedBy>Marguerite Angelari</cp:lastModifiedBy>
  <cp:revision>2</cp:revision>
  <cp:lastPrinted>2016-10-20T12:46:00Z</cp:lastPrinted>
  <dcterms:created xsi:type="dcterms:W3CDTF">2016-10-31T18:31:00Z</dcterms:created>
  <dcterms:modified xsi:type="dcterms:W3CDTF">2016-10-31T18:31:00Z</dcterms:modified>
</cp:coreProperties>
</file>